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94" w:rsidRDefault="00877694" w:rsidP="00877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37.037 – 057.87</w:t>
      </w:r>
    </w:p>
    <w:p w:rsidR="00877694" w:rsidRDefault="00877694" w:rsidP="00877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ББК 74.580.055</w:t>
      </w:r>
    </w:p>
    <w:p w:rsidR="00877694" w:rsidRDefault="00877694" w:rsidP="00877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-74</w:t>
      </w:r>
    </w:p>
    <w:p w:rsidR="00877694" w:rsidRDefault="00877694" w:rsidP="00877694">
      <w:pPr>
        <w:rPr>
          <w:rFonts w:ascii="Times New Roman" w:hAnsi="Times New Roman" w:cs="Times New Roman"/>
          <w:b/>
          <w:sz w:val="28"/>
          <w:szCs w:val="28"/>
        </w:rPr>
      </w:pPr>
    </w:p>
    <w:p w:rsidR="00877694" w:rsidRDefault="00877694" w:rsidP="00877694">
      <w:pPr>
        <w:rPr>
          <w:rFonts w:ascii="Times New Roman" w:hAnsi="Times New Roman" w:cs="Times New Roman"/>
          <w:b/>
          <w:sz w:val="28"/>
          <w:szCs w:val="28"/>
        </w:rPr>
      </w:pPr>
    </w:p>
    <w:p w:rsidR="00877694" w:rsidRDefault="00877694" w:rsidP="008776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Рекомендовано до друку рішенням кафедри </w:t>
      </w:r>
    </w:p>
    <w:p w:rsidR="00877694" w:rsidRDefault="00877694" w:rsidP="008776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</w:t>
      </w:r>
    </w:p>
    <w:p w:rsidR="00877694" w:rsidRDefault="00877694" w:rsidP="008776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імені Василя Стефаника</w:t>
      </w:r>
    </w:p>
    <w:p w:rsidR="00877694" w:rsidRDefault="00877694" w:rsidP="008776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2 від 2</w:t>
      </w:r>
      <w:r w:rsidRPr="00403ED0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вересня 201</w:t>
      </w:r>
      <w:r w:rsidRPr="00403ED0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:rsidR="00877694" w:rsidRDefault="00877694" w:rsidP="0087769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7694" w:rsidRPr="00403ED0" w:rsidRDefault="00877694" w:rsidP="00877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редакційна колегія: доктор медичних наук, професор В.А.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; завідувач кафедри фізичного виховання, кандидат наук з фізичної виховання та спорту, доцент  Р.І.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>; кандидат наук з фізичної виховання та спорту, доцент Р.О.Ярий; кандидат наук з фізичної виховання та спорту, доцент С.А.Бублик</w:t>
      </w:r>
      <w:r w:rsidRPr="00403E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кандидат наук з фізичної виховання та спорту, доцент О.Ф.Крижанівська</w:t>
      </w:r>
    </w:p>
    <w:p w:rsidR="00877694" w:rsidRDefault="00877694" w:rsidP="00877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Випусковий редактор: кандидат наук з фізичної виховання та спорту, доцент кафедри фізичного виховання Р.І.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</w:p>
    <w:p w:rsidR="00877694" w:rsidRDefault="00877694" w:rsidP="00877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694" w:rsidRDefault="00877694" w:rsidP="00877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Інформаційний бюлетень кафедри фізичного виховання: зб. Наукових праць. – Івано-Франківськ, Видавець Кушнір Р.І., 2016. - №3 – 80 ст.</w:t>
      </w:r>
    </w:p>
    <w:p w:rsidR="00877694" w:rsidRDefault="00877694" w:rsidP="00877694">
      <w:pPr>
        <w:rPr>
          <w:rFonts w:ascii="Times New Roman" w:hAnsi="Times New Roman" w:cs="Times New Roman"/>
          <w:sz w:val="28"/>
          <w:szCs w:val="28"/>
        </w:rPr>
      </w:pPr>
    </w:p>
    <w:p w:rsidR="00877694" w:rsidRDefault="00877694" w:rsidP="00877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бюлетні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кафедри вміщено статті викладачів та студентів, які працюють під керівництвом викладачів кафедри фізичного виховання Прикарпатського національного університету імені Василя Стефаника і присвячені актуальним питанням фізичного виховання, здоров’я та спорту.</w:t>
      </w:r>
    </w:p>
    <w:p w:rsidR="00877694" w:rsidRDefault="00877694" w:rsidP="00877694">
      <w:pPr>
        <w:spacing w:after="0" w:line="240" w:lineRule="auto"/>
        <w:jc w:val="right"/>
      </w:pPr>
      <w:r>
        <w:t>Прикарпатський національний університет</w:t>
      </w:r>
    </w:p>
    <w:p w:rsidR="00877694" w:rsidRPr="00B958BD" w:rsidRDefault="00877694" w:rsidP="00877694">
      <w:pPr>
        <w:spacing w:after="0" w:line="240" w:lineRule="auto"/>
        <w:jc w:val="right"/>
        <w:rPr>
          <w:sz w:val="28"/>
          <w:szCs w:val="28"/>
        </w:rPr>
      </w:pPr>
      <w:r>
        <w:t>імені Василя Стефаника</w:t>
      </w:r>
    </w:p>
    <w:p w:rsidR="00877694" w:rsidRPr="00877694" w:rsidRDefault="00877694" w:rsidP="0087769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D3497" w:rsidRDefault="00BD3497" w:rsidP="00877694">
      <w:pPr>
        <w:spacing w:after="0" w:line="360" w:lineRule="auto"/>
        <w:jc w:val="right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en-US"/>
        </w:rPr>
      </w:pPr>
    </w:p>
    <w:p w:rsidR="00877694" w:rsidRPr="00877694" w:rsidRDefault="00877694" w:rsidP="00877694">
      <w:pPr>
        <w:spacing w:after="0" w:line="360" w:lineRule="auto"/>
        <w:jc w:val="right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lastRenderedPageBreak/>
        <w:t>Марія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Тірон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</w:p>
    <w:p w:rsidR="00877694" w:rsidRPr="00877694" w:rsidRDefault="00877694" w:rsidP="00877694">
      <w:pPr>
        <w:spacing w:after="0" w:line="360" w:lineRule="auto"/>
        <w:jc w:val="right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асистент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кафедри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виховання</w:t>
      </w:r>
    </w:p>
    <w:p w:rsidR="00877694" w:rsidRPr="00877694" w:rsidRDefault="00877694" w:rsidP="00877694">
      <w:pPr>
        <w:spacing w:after="0" w:line="360" w:lineRule="auto"/>
        <w:jc w:val="right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Ірина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Тірон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</w:p>
    <w:p w:rsidR="00877694" w:rsidRDefault="00877694" w:rsidP="00877694">
      <w:pPr>
        <w:spacing w:after="0" w:line="360" w:lineRule="auto"/>
        <w:jc w:val="right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Фармацевт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–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провізор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ІФНМУ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</w:p>
    <w:p w:rsidR="00877694" w:rsidRDefault="00877694" w:rsidP="00877694">
      <w:pPr>
        <w:spacing w:after="0" w:line="360" w:lineRule="auto"/>
        <w:jc w:val="right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877694" w:rsidRPr="00877694" w:rsidRDefault="00877694" w:rsidP="00877694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БАДИ.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ВПЛИВ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НУТРІЦЕВТИКІВ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НА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РОЗВИТОК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ФІЗИЧНИХ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ЯКОСТЕЙ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У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СТУДЕНТІВ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СПЕЦІАЛЬНИХ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МЕДИЧНИХ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ГРУП</w:t>
      </w:r>
    </w:p>
    <w:p w:rsidR="00877694" w:rsidRPr="00877694" w:rsidRDefault="00877694" w:rsidP="00877694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877694" w:rsidRPr="00877694" w:rsidRDefault="00877694" w:rsidP="0087769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Анотація.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останні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десятки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років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вченими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медиками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спеціалістами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спортивної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медицини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відмічається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тенденція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стійкого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зниження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якостей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підлітків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студентської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молоді.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Ця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проблема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тільки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охопила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країни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пострадянського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простору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але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розвинених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країн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світу.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Основними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причинами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слабких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якостей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молоді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є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гіподинамія,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тривале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сидіння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комп’ютером,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відсутність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мотиваційно-ціннісного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ставлення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виховання,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прагнення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здорового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способу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життя.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Крім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вправ,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спорту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запорукою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здоров’я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є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здорове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харчування.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жаль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студентської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молоді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вже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сформовані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смакові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харчові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вподобання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спецмедгрупах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бачимо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наслідки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гіподинамії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нездорового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харчування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недоліки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виховання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дитячому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віці.</w:t>
      </w:r>
    </w:p>
    <w:p w:rsidR="00877694" w:rsidRPr="00877694" w:rsidRDefault="00877694" w:rsidP="00877694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ab/>
      </w: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Ключові</w:t>
      </w:r>
      <w:r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слова: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БАД</w:t>
      </w:r>
      <w:proofErr w:type="spellEnd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нутріцевтик</w:t>
      </w:r>
      <w:proofErr w:type="spellEnd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якості,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здорове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харчування.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Мета: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опрацювати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дані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літератури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використання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БАДів</w:t>
      </w:r>
      <w:proofErr w:type="spellEnd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зокрема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нутріцевтиків</w:t>
      </w:r>
      <w:proofErr w:type="spellEnd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для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корекції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порушень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обміну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речовин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її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наслідків,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захворювань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серцево-судинної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системи,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видільної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дихальної,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покращення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психоемоційного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стану.</w:t>
      </w:r>
    </w:p>
    <w:p w:rsidR="00877694" w:rsidRPr="00877694" w:rsidRDefault="00877694" w:rsidP="0087769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lastRenderedPageBreak/>
        <w:t>Виклад</w:t>
      </w:r>
      <w:r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основного</w:t>
      </w:r>
      <w:r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матеріалу.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ході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вивчення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наукової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та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спеціальної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літератури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було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проаналізовано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різні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підходи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вирішення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проблеми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зниження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фізичних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якостей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студентської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молоді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зокрема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студентів,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що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займаються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спеціальних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медичних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групах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мають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прояви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порушень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обміну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речовин,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розлади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імунного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стану,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захворювання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серцево–судинної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системи,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дихальної,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наявністю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хронічної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втоми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найбільшу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цікавість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викликала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методика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використання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біологічно-активних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добавок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харчовому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раціоні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в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поєднанні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з фізичними навантаженнями.</w:t>
      </w:r>
    </w:p>
    <w:p w:rsidR="00877694" w:rsidRPr="00877694" w:rsidRDefault="00877694" w:rsidP="00877694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  <w:lang w:val="uk-UA"/>
        </w:rPr>
      </w:pPr>
      <w:proofErr w:type="spellStart"/>
      <w:r w:rsidRPr="00D81D29">
        <w:rPr>
          <w:bCs/>
          <w:i/>
          <w:sz w:val="32"/>
          <w:szCs w:val="32"/>
          <w:lang w:val="uk-UA"/>
        </w:rPr>
        <w:t>Біологічнo</w:t>
      </w:r>
      <w:r w:rsidRPr="00D81D29">
        <w:rPr>
          <w:rStyle w:val="apple-converted-space"/>
          <w:bCs/>
          <w:i/>
          <w:sz w:val="32"/>
          <w:szCs w:val="32"/>
          <w:lang w:val="uk-UA"/>
        </w:rPr>
        <w:t>-</w:t>
      </w:r>
      <w:r w:rsidRPr="00D81D29">
        <w:rPr>
          <w:bCs/>
          <w:i/>
          <w:sz w:val="32"/>
          <w:szCs w:val="32"/>
          <w:lang w:val="uk-UA"/>
        </w:rPr>
        <w:t>актиивна</w:t>
      </w:r>
      <w:proofErr w:type="spellEnd"/>
      <w:r w:rsidRPr="00D81D29">
        <w:rPr>
          <w:rStyle w:val="apple-converted-space"/>
          <w:bCs/>
          <w:i/>
          <w:sz w:val="32"/>
          <w:szCs w:val="32"/>
          <w:lang w:val="uk-UA"/>
        </w:rPr>
        <w:t xml:space="preserve"> </w:t>
      </w:r>
      <w:r w:rsidRPr="00D81D29">
        <w:rPr>
          <w:bCs/>
          <w:i/>
          <w:sz w:val="32"/>
          <w:szCs w:val="32"/>
          <w:lang w:val="uk-UA"/>
        </w:rPr>
        <w:t>харчова</w:t>
      </w:r>
      <w:r w:rsidRPr="00D81D29">
        <w:rPr>
          <w:rStyle w:val="apple-converted-space"/>
          <w:bCs/>
          <w:i/>
          <w:sz w:val="32"/>
          <w:szCs w:val="32"/>
          <w:lang w:val="uk-UA"/>
        </w:rPr>
        <w:t xml:space="preserve"> </w:t>
      </w:r>
      <w:r w:rsidRPr="00D81D29">
        <w:rPr>
          <w:bCs/>
          <w:i/>
          <w:sz w:val="32"/>
          <w:szCs w:val="32"/>
          <w:lang w:val="uk-UA"/>
        </w:rPr>
        <w:t>добавка</w:t>
      </w:r>
      <w:r w:rsidRPr="00D81D29">
        <w:rPr>
          <w:sz w:val="32"/>
          <w:szCs w:val="32"/>
          <w:lang w:val="uk-UA"/>
        </w:rPr>
        <w:t xml:space="preserve"> —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спеціальний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hyperlink r:id="rId4" w:tooltip="Харчовий продукт" w:history="1">
        <w:r w:rsidRPr="00D81D29">
          <w:rPr>
            <w:rStyle w:val="a3"/>
            <w:color w:val="auto"/>
            <w:sz w:val="32"/>
            <w:szCs w:val="32"/>
            <w:u w:val="none"/>
            <w:lang w:val="uk-UA"/>
          </w:rPr>
          <w:t>харчовий</w:t>
        </w:r>
        <w:r w:rsidRPr="00D81D29">
          <w:rPr>
            <w:rStyle w:val="apple-converted-space"/>
            <w:sz w:val="32"/>
            <w:szCs w:val="32"/>
            <w:lang w:val="uk-UA"/>
          </w:rPr>
          <w:t xml:space="preserve"> </w:t>
        </w:r>
        <w:r w:rsidRPr="00D81D29">
          <w:rPr>
            <w:rStyle w:val="a3"/>
            <w:color w:val="auto"/>
            <w:sz w:val="32"/>
            <w:szCs w:val="32"/>
            <w:u w:val="none"/>
            <w:lang w:val="uk-UA"/>
          </w:rPr>
          <w:t>продукт</w:t>
        </w:r>
      </w:hyperlink>
      <w:r w:rsidRPr="00D81D29">
        <w:rPr>
          <w:sz w:val="32"/>
          <w:szCs w:val="32"/>
          <w:lang w:val="uk-UA"/>
        </w:rPr>
        <w:t>,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призначений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для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вживання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або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введення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в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межах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hyperlink r:id="rId5" w:tooltip="Фізіологічні норми (ще не написана)" w:history="1">
        <w:r w:rsidRPr="00D81D29">
          <w:rPr>
            <w:rStyle w:val="a3"/>
            <w:color w:val="auto"/>
            <w:sz w:val="32"/>
            <w:szCs w:val="32"/>
            <w:u w:val="none"/>
            <w:lang w:val="uk-UA"/>
          </w:rPr>
          <w:t>фізіологічних</w:t>
        </w:r>
        <w:r w:rsidRPr="00D81D29">
          <w:rPr>
            <w:rStyle w:val="apple-converted-space"/>
            <w:sz w:val="32"/>
            <w:szCs w:val="32"/>
            <w:lang w:val="uk-UA"/>
          </w:rPr>
          <w:t xml:space="preserve"> </w:t>
        </w:r>
        <w:r w:rsidRPr="00D81D29">
          <w:rPr>
            <w:rStyle w:val="a3"/>
            <w:color w:val="auto"/>
            <w:sz w:val="32"/>
            <w:szCs w:val="32"/>
            <w:u w:val="none"/>
            <w:lang w:val="uk-UA"/>
          </w:rPr>
          <w:t>норм</w:t>
        </w:r>
      </w:hyperlink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до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раціонів харчування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чи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харчових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продуктів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з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метою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надання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їм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дієтичних,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оздоровчих, лікувально-профілактичних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властивостей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для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забезпечення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нормальних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та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відновлення порушених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r w:rsidRPr="00D81D29">
        <w:rPr>
          <w:sz w:val="32"/>
          <w:szCs w:val="32"/>
          <w:lang w:val="uk-UA"/>
        </w:rPr>
        <w:t>функцій</w:t>
      </w:r>
      <w:r w:rsidRPr="00D81D29">
        <w:rPr>
          <w:rStyle w:val="apple-converted-space"/>
          <w:sz w:val="32"/>
          <w:szCs w:val="32"/>
          <w:lang w:val="uk-UA"/>
        </w:rPr>
        <w:t xml:space="preserve"> </w:t>
      </w:r>
      <w:hyperlink r:id="rId6" w:tooltip="Організм" w:history="1">
        <w:r w:rsidRPr="00D81D29">
          <w:rPr>
            <w:rStyle w:val="a3"/>
            <w:color w:val="auto"/>
            <w:sz w:val="32"/>
            <w:szCs w:val="32"/>
            <w:u w:val="none"/>
            <w:lang w:val="uk-UA"/>
          </w:rPr>
          <w:t>організму</w:t>
        </w:r>
      </w:hyperlink>
      <w:r w:rsidRPr="00D81D29">
        <w:rPr>
          <w:rStyle w:val="apple-converted-space"/>
          <w:sz w:val="32"/>
          <w:szCs w:val="32"/>
          <w:lang w:val="uk-UA"/>
        </w:rPr>
        <w:t xml:space="preserve"> </w:t>
      </w:r>
      <w:hyperlink r:id="rId7" w:tooltip="Людина" w:history="1">
        <w:r w:rsidRPr="00D81D29">
          <w:rPr>
            <w:rStyle w:val="a3"/>
            <w:color w:val="auto"/>
            <w:sz w:val="32"/>
            <w:szCs w:val="32"/>
            <w:u w:val="none"/>
            <w:lang w:val="uk-UA"/>
          </w:rPr>
          <w:t>людини</w:t>
        </w:r>
      </w:hyperlink>
      <w:r w:rsidRPr="00D81D29">
        <w:rPr>
          <w:sz w:val="32"/>
          <w:szCs w:val="32"/>
          <w:lang w:val="uk-UA"/>
        </w:rPr>
        <w:t>.</w:t>
      </w:r>
      <w:r w:rsidRPr="00877694">
        <w:rPr>
          <w:rStyle w:val="apple-converted-space"/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Біологічно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активні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добавки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з'явилися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в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Україні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близько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10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років</w:t>
      </w:r>
      <w:r>
        <w:rPr>
          <w:color w:val="000000"/>
          <w:sz w:val="32"/>
          <w:szCs w:val="32"/>
          <w:lang w:val="uk-UA"/>
        </w:rPr>
        <w:t xml:space="preserve"> </w:t>
      </w:r>
      <w:r w:rsidRPr="00877694">
        <w:rPr>
          <w:color w:val="000000"/>
          <w:sz w:val="32"/>
          <w:szCs w:val="32"/>
          <w:lang w:val="uk-UA"/>
        </w:rPr>
        <w:t>тому.</w:t>
      </w:r>
      <w:r>
        <w:rPr>
          <w:color w:val="000000"/>
          <w:sz w:val="32"/>
          <w:szCs w:val="32"/>
          <w:lang w:val="uk-UA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Сьогодні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населенню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України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пропонують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 w:rsidRPr="00877694">
        <w:rPr>
          <w:color w:val="000000"/>
          <w:sz w:val="32"/>
          <w:szCs w:val="32"/>
        </w:rPr>
        <w:t>свою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продукцію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понад</w:t>
      </w:r>
      <w:proofErr w:type="spell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200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фірм-виробників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біологічно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активних</w:t>
      </w:r>
      <w:proofErr w:type="spell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добавок.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Володіючи</w:t>
      </w:r>
      <w:proofErr w:type="spell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таким</w:t>
      </w:r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арсеналом</w:t>
      </w:r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БАД,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лікар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може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вводити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ї</w:t>
      </w:r>
      <w:proofErr w:type="gramStart"/>
      <w:r w:rsidRPr="00877694">
        <w:rPr>
          <w:color w:val="000000"/>
          <w:sz w:val="32"/>
          <w:szCs w:val="32"/>
        </w:rPr>
        <w:t>х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раціон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дієтичного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чи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раціонального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харчування</w:t>
      </w:r>
      <w:proofErr w:type="spell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для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оптимізації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обмінних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процесів</w:t>
      </w:r>
      <w:proofErr w:type="spell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та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функцій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організму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людини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урахуванням</w:t>
      </w:r>
      <w:proofErr w:type="spellEnd"/>
      <w:r>
        <w:rPr>
          <w:color w:val="000000"/>
          <w:sz w:val="32"/>
          <w:szCs w:val="32"/>
        </w:rPr>
        <w:t xml:space="preserve"> </w:t>
      </w:r>
      <w:r w:rsidRPr="00877694">
        <w:rPr>
          <w:color w:val="000000"/>
          <w:sz w:val="32"/>
          <w:szCs w:val="32"/>
        </w:rPr>
        <w:t>стану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її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Pr="00877694">
        <w:rPr>
          <w:color w:val="000000"/>
          <w:sz w:val="32"/>
          <w:szCs w:val="32"/>
        </w:rPr>
        <w:t>здоров'я</w:t>
      </w:r>
      <w:proofErr w:type="spellEnd"/>
      <w:r w:rsidRPr="00877694">
        <w:rPr>
          <w:color w:val="000000"/>
          <w:sz w:val="32"/>
          <w:szCs w:val="32"/>
        </w:rPr>
        <w:t>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Серед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широкого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спектру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біологічно-активних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добавок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значне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місце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займають</w:t>
      </w: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нутіцевтики</w:t>
      </w:r>
      <w:proofErr w:type="spellEnd"/>
      <w:r w:rsidRPr="00877694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D81D29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Нутрицевтики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ідентичні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природним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хімічні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речовини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тваринного,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рослинного,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синтетичного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біотехнологічного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походження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одержані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промислових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масштабах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призначені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вживання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одночасно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їжею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введення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склад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харчових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продуктів,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також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звичайні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компоненти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їжі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(жирні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олії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великим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вмістом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поліненасичених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жирних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кислот,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інулін,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харчові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волокна,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фітоестрогени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тощо).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вживання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нутрицевтиків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ліквідація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дефіциту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есенціальних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харчових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речовин,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підвищення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імунітету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резистентності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організму,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спрямована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зміна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метаболізму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речовин,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зв’язування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виведення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ксенобіотиків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наслідок,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профілактика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хвороб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цивілізації.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нутрицевтиків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існують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вищі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добові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норми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вживання: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вміст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вітамінів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6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12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ніацину</w:t>
      </w:r>
      <w:proofErr w:type="spellEnd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фолієвої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кислоти,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пантотенової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кислоти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тощо.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випускають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вигляді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фармацевтичних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форм: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порошків,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таблеток,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капсул,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сиропів,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екстрактів,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настоїв,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концентратів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рослинної,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тваринної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або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мінеральної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сировини,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виготовлених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хімічним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біотехнологічним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способами.</w:t>
      </w:r>
    </w:p>
    <w:p w:rsidR="00877694" w:rsidRPr="00D81D29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створюються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основі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загальновідомих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ну-трієнтів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, які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довгий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час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використовувалися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медичній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практиці (вітаміни,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мі-неральні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речовини, продукти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переробки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рослин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життєдіяльності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мікроорганізм-ів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тощо), достатньо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вивчені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експерименті; набутий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великий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досвід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їх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клінічного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застосування.</w:t>
      </w:r>
    </w:p>
    <w:p w:rsidR="00877694" w:rsidRPr="00877694" w:rsidRDefault="00877694" w:rsidP="00877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відноситься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категорії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спеціальних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харчових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продуктів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застосовується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оптимізації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сучасної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людини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урахуванням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рекомендованих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норм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споживання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основних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нутрієнтів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, 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корекції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структури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харчування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населення, 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також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профілактики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цілого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ряду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захворювань. Як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спеціальні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харчові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продукти,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тісно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пов'язані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дієтичного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харчування. Важливість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рекомендованого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зростає,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коли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призначається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осіб,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контролюють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масу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тіла.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такому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разі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обов'язково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доцільно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використовувати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поєднанні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дієтичними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зниженої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енергетичної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цінності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(з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обмеженням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жирів,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рафінованих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вуглеводів,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алкоголю).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які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призначаються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профілактики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атеросклерозу,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необхідно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застосовувати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фоні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дієтичного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обмеженням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жирних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багатих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холестеролом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продуктів.</w:t>
      </w:r>
    </w:p>
    <w:p w:rsidR="00877694" w:rsidRPr="00877694" w:rsidRDefault="00877694" w:rsidP="00877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менш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важливо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раціонально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поєднувати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харчовий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БАД-парафармацевтики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, які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призначаються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метою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нормалізації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або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відновлення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порушених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функцій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організму. Наприклад,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, які використовуються з метою нормалізації процесів жовчовиділення, доцільно призначати на фоні дієтичного раціону, в якому обмежені жирні та копчені продукти, вилучені маринади, алкогольні напої тощо.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даний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час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набуло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776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актуальності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Фармакологія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дозволяє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розширити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можливості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пристосування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надзвичайно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великих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навантажень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вищих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досягнень,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які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межують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можливостями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конкретного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Раціональне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застосування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препаратів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(наприклад,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лікарські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засоби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екстремальних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тренувальних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змагальних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навантажень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може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сприяти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підвищенню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витривалості,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психічної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стійкості,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швидкому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відновленню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ресурсів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здобутки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вищих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досягнень,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спрямовані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досягнення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оптимального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функціонального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стану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працездатності.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77694" w:rsidRPr="00877694" w:rsidRDefault="00877694" w:rsidP="00877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81D29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тим,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досягнення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працездатності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витривалості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без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шкоди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його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здоров'я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вкориствуються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які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практично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викликають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негативних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побічних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ефектів.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Останнім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часом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галузі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спортивної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медицини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застосовується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спосіб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поліпшення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психоемоційного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стану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D81D29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була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розроблена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Інституті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проблем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кріолітозони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1995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році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зареєстрована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як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фармацевтичний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препарат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Препарат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отримано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пантів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північного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оленя,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рекомендований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якості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їжі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додаткового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джерела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речовин,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жирів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(фосфатиди,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холестерин)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мінеральних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речовин.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тонізуючим,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біо-стимулюючим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профілактично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оздоровчим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засобом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підвищує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опірність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бактеріальних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вірусних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інфекціях,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сприяє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підвищенню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імунітету.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Стимулює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розумову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працездатність,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прискорює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відновлення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фізіологічних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функцій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після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фізичних,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розумових,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психологічних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перевантажень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перевтоми.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містяться: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фосфоліпіди,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збалансований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набір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вільних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амінокислот,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мікроелементів,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водо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жиророзчинних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вітамінів,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естери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ненасичених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жирних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кислот,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надають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антиоксидантну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дію,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ефіри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кислот,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набори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простагландинів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пептидів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ін</w:t>
      </w:r>
      <w:proofErr w:type="spellEnd"/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відноситься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допінгових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засобів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внесений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список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заборонених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ВАДА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WADA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даному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випадку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забезпечується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заповнення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швидко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мобілізованих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енергетичних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резервів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підтримання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високої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швидкості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обмінних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процесів,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підсумку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підвищує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загальну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працездатність.</w:t>
      </w:r>
    </w:p>
    <w:p w:rsidR="00877694" w:rsidRPr="00877694" w:rsidRDefault="00877694" w:rsidP="008776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Вважається,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позитивний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ефект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застосування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пов'язаний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активацією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біоенергетичного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метаболізму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антиоксидантних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систем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організмі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спортсменів,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числі,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структурах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центральної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периферичної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нервових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систем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(підвищення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стійкості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психологічних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навантажень).</w:t>
      </w:r>
    </w:p>
    <w:p w:rsidR="00877694" w:rsidRPr="00877694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Таким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чином,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БАД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завдяки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специфічному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фармакологічній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дії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може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бути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рекомендованийний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фізичними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навантаженнями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досягненню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високих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результатів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змаганнях.</w:t>
      </w:r>
    </w:p>
    <w:p w:rsidR="00877694" w:rsidRPr="00D81D29" w:rsidRDefault="00877694" w:rsidP="00D81D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Спосіб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підвищення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загальної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працездатності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спортсменів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із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застосуванням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включає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поетапний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щоденний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дворазовий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питний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прийом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біологічно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активної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добавки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Эпсорин</w:t>
      </w:r>
      <w:proofErr w:type="spellEnd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»,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цьому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час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етапу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загальнофізичної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підготовки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прийом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здійснюється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протягом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двох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тижнів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30-40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хвилин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початку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навчально-тренувального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процесу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10-15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крапель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разової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дози,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додаються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склянку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води;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період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спеціальної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фізичної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підготовки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прийом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проводиться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протягом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днів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30-40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хвилин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початку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навчально-тренувального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процесу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10-15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крапель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разової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дози,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додаються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склянку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води,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перехідний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період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приймається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протягом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3-5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днів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30-40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хвилин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тренування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5-7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крапель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разової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дози,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що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додаються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склянку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води,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день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змагань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разова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збільшується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20-30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крапель,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доданих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стакан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77694">
        <w:rPr>
          <w:rFonts w:ascii="Times New Roman" w:eastAsia="Times New Roman" w:hAnsi="Times New Roman" w:cs="Times New Roman"/>
          <w:color w:val="000000"/>
          <w:sz w:val="32"/>
          <w:szCs w:val="32"/>
        </w:rPr>
        <w:t>води.</w:t>
      </w:r>
    </w:p>
    <w:p w:rsidR="00877694" w:rsidRPr="00877694" w:rsidRDefault="00877694" w:rsidP="00877694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sz w:val="32"/>
          <w:szCs w:val="32"/>
          <w:lang w:val="uk-UA"/>
        </w:rPr>
      </w:pPr>
      <w:r w:rsidRPr="00D81D29">
        <w:rPr>
          <w:bCs/>
          <w:i/>
          <w:sz w:val="32"/>
          <w:szCs w:val="32"/>
          <w:lang w:val="uk-UA"/>
        </w:rPr>
        <w:t>Висновок</w:t>
      </w:r>
      <w:r w:rsidRPr="00D81D29">
        <w:rPr>
          <w:i/>
          <w:sz w:val="32"/>
          <w:szCs w:val="32"/>
          <w:lang w:val="uk-UA"/>
        </w:rPr>
        <w:t>.</w:t>
      </w:r>
      <w:r w:rsidR="00D81D29"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Таким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чином,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наведене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вище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дає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підстави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для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більш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широкого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розуміння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функції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дієтотерапії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і,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зокрема,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лише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як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носія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енергії,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й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засобу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високої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біологічної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дії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на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різні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ланки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метаболічних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lastRenderedPageBreak/>
        <w:t>процесів.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</w:rPr>
        <w:t>Особливо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це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стосується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мікронутрієнтів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рослинного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походження</w:t>
      </w:r>
      <w:proofErr w:type="spellEnd"/>
      <w:r w:rsidRPr="00877694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які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є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складовою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багатьох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БАДі</w:t>
      </w:r>
      <w:proofErr w:type="gramStart"/>
      <w:r w:rsidRPr="00877694">
        <w:rPr>
          <w:sz w:val="32"/>
          <w:szCs w:val="32"/>
        </w:rPr>
        <w:t>в</w:t>
      </w:r>
      <w:proofErr w:type="spellEnd"/>
      <w:proofErr w:type="gram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до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їжі</w:t>
      </w:r>
      <w:proofErr w:type="spellEnd"/>
      <w:r w:rsidRPr="0087769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877694" w:rsidRPr="00D81D29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lang w:val="uk-UA"/>
        </w:rPr>
      </w:pPr>
      <w:r w:rsidRPr="00877694">
        <w:rPr>
          <w:sz w:val="32"/>
          <w:szCs w:val="32"/>
          <w:lang w:val="uk-UA"/>
        </w:rPr>
        <w:t>Вміле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використання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останніх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метою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досягнення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збалансованості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раціонів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хар</w:t>
      </w:r>
      <w:r w:rsidRPr="00877694">
        <w:rPr>
          <w:sz w:val="32"/>
          <w:szCs w:val="32"/>
          <w:lang w:val="uk-UA"/>
        </w:rPr>
        <w:softHyphen/>
        <w:t>чування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сприятиме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оптимізації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профілак</w:t>
      </w:r>
      <w:r w:rsidRPr="00877694">
        <w:rPr>
          <w:sz w:val="32"/>
          <w:szCs w:val="32"/>
          <w:lang w:val="uk-UA"/>
        </w:rPr>
        <w:softHyphen/>
        <w:t>тичних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лікувальних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заходів,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будь-яке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науково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обґрунтоване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їх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використання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може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сприяти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лише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розчаруванню,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але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й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негативним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наслідкам.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Важливим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висновком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є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те,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що</w:t>
      </w:r>
      <w:r>
        <w:rPr>
          <w:sz w:val="32"/>
          <w:szCs w:val="32"/>
          <w:lang w:val="uk-UA"/>
        </w:rPr>
        <w:t xml:space="preserve">  </w:t>
      </w:r>
      <w:r w:rsidRPr="00877694">
        <w:rPr>
          <w:sz w:val="32"/>
          <w:szCs w:val="32"/>
          <w:lang w:val="uk-UA"/>
        </w:rPr>
        <w:t>використання</w:t>
      </w:r>
      <w:r>
        <w:rPr>
          <w:sz w:val="32"/>
          <w:szCs w:val="32"/>
          <w:lang w:val="uk-UA"/>
        </w:rPr>
        <w:t xml:space="preserve"> </w:t>
      </w:r>
      <w:proofErr w:type="spellStart"/>
      <w:r w:rsidRPr="00877694">
        <w:rPr>
          <w:sz w:val="32"/>
          <w:szCs w:val="32"/>
          <w:lang w:val="uk-UA"/>
        </w:rPr>
        <w:t>нутріцевтиків</w:t>
      </w:r>
      <w:proofErr w:type="spellEnd"/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є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перспективним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методом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оздоровлення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студентів</w:t>
      </w:r>
      <w:r>
        <w:rPr>
          <w:sz w:val="32"/>
          <w:szCs w:val="32"/>
          <w:lang w:val="uk-UA"/>
        </w:rPr>
        <w:t xml:space="preserve"> </w:t>
      </w:r>
      <w:proofErr w:type="spellStart"/>
      <w:r w:rsidRPr="00877694">
        <w:rPr>
          <w:sz w:val="32"/>
          <w:szCs w:val="32"/>
          <w:lang w:val="uk-UA"/>
        </w:rPr>
        <w:t>спецмедгруп</w:t>
      </w:r>
      <w:proofErr w:type="spellEnd"/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різними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групами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захворювань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призведе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до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покращення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фізичних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якостей,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психоемоційної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рівноваги,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адаптації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нових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умовах</w:t>
      </w:r>
      <w:r>
        <w:rPr>
          <w:sz w:val="32"/>
          <w:szCs w:val="32"/>
          <w:lang w:val="uk-UA"/>
        </w:rPr>
        <w:t xml:space="preserve"> </w:t>
      </w:r>
      <w:proofErr w:type="spellStart"/>
      <w:r w:rsidRPr="00877694">
        <w:rPr>
          <w:sz w:val="32"/>
          <w:szCs w:val="32"/>
          <w:lang w:val="uk-UA"/>
        </w:rPr>
        <w:t>соціуму.Перші</w:t>
      </w:r>
      <w:proofErr w:type="spellEnd"/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спроби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використання</w:t>
      </w:r>
      <w:r>
        <w:rPr>
          <w:sz w:val="32"/>
          <w:szCs w:val="32"/>
          <w:lang w:val="uk-UA"/>
        </w:rPr>
        <w:t xml:space="preserve"> </w:t>
      </w:r>
      <w:proofErr w:type="spellStart"/>
      <w:r w:rsidRPr="00877694">
        <w:rPr>
          <w:sz w:val="32"/>
          <w:szCs w:val="32"/>
          <w:lang w:val="uk-UA"/>
        </w:rPr>
        <w:t>фіточаю</w:t>
      </w:r>
      <w:proofErr w:type="spellEnd"/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ехінацеєю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студентами</w:t>
      </w:r>
      <w:r>
        <w:rPr>
          <w:sz w:val="32"/>
          <w:szCs w:val="32"/>
          <w:lang w:val="uk-UA"/>
        </w:rPr>
        <w:t xml:space="preserve"> </w:t>
      </w:r>
      <w:proofErr w:type="spellStart"/>
      <w:r w:rsidRPr="00877694">
        <w:rPr>
          <w:sz w:val="32"/>
          <w:szCs w:val="32"/>
          <w:lang w:val="uk-UA"/>
        </w:rPr>
        <w:t>спецмедгруп</w:t>
      </w:r>
      <w:proofErr w:type="spellEnd"/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отримання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позитивних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результатів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дає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нам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надію,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що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використання</w:t>
      </w:r>
      <w:r>
        <w:rPr>
          <w:sz w:val="32"/>
          <w:szCs w:val="32"/>
          <w:lang w:val="uk-UA"/>
        </w:rPr>
        <w:t xml:space="preserve"> </w:t>
      </w:r>
      <w:proofErr w:type="spellStart"/>
      <w:r w:rsidRPr="00877694">
        <w:rPr>
          <w:sz w:val="32"/>
          <w:szCs w:val="32"/>
          <w:lang w:val="uk-UA"/>
        </w:rPr>
        <w:t>БАДів</w:t>
      </w:r>
      <w:proofErr w:type="spellEnd"/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стане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ширшим,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якість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життя</w:t>
      </w:r>
      <w:r>
        <w:rPr>
          <w:sz w:val="32"/>
          <w:szCs w:val="32"/>
          <w:lang w:val="uk-UA"/>
        </w:rPr>
        <w:t xml:space="preserve"> </w:t>
      </w:r>
      <w:r w:rsidRPr="00877694">
        <w:rPr>
          <w:sz w:val="32"/>
          <w:szCs w:val="32"/>
          <w:lang w:val="uk-UA"/>
        </w:rPr>
        <w:t>хворих-кращим.</w:t>
      </w:r>
    </w:p>
    <w:p w:rsidR="00877694" w:rsidRPr="00D81D29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i/>
          <w:sz w:val="32"/>
          <w:szCs w:val="32"/>
        </w:rPr>
      </w:pPr>
      <w:proofErr w:type="spellStart"/>
      <w:r w:rsidRPr="00D81D29">
        <w:rPr>
          <w:bCs/>
          <w:i/>
          <w:sz w:val="32"/>
          <w:szCs w:val="32"/>
        </w:rPr>
        <w:t>Використана</w:t>
      </w:r>
      <w:proofErr w:type="spellEnd"/>
      <w:r w:rsidRPr="00D81D29">
        <w:rPr>
          <w:bCs/>
          <w:i/>
          <w:sz w:val="32"/>
          <w:szCs w:val="32"/>
        </w:rPr>
        <w:t xml:space="preserve"> </w:t>
      </w:r>
      <w:proofErr w:type="spellStart"/>
      <w:r w:rsidRPr="00D81D29">
        <w:rPr>
          <w:bCs/>
          <w:i/>
          <w:sz w:val="32"/>
          <w:szCs w:val="32"/>
        </w:rPr>
        <w:t>література</w:t>
      </w:r>
      <w:proofErr w:type="spellEnd"/>
      <w:r w:rsidRPr="00D81D29">
        <w:rPr>
          <w:bCs/>
          <w:i/>
          <w:sz w:val="32"/>
          <w:szCs w:val="32"/>
        </w:rPr>
        <w:t>:</w:t>
      </w:r>
      <w:r w:rsidRPr="00D81D29">
        <w:rPr>
          <w:i/>
          <w:sz w:val="32"/>
          <w:szCs w:val="32"/>
        </w:rPr>
        <w:t xml:space="preserve"> </w:t>
      </w:r>
    </w:p>
    <w:p w:rsidR="00877694" w:rsidRPr="00D81D29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lang w:val="uk-UA"/>
        </w:rPr>
      </w:pPr>
      <w:r w:rsidRPr="00877694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Карпенко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П.О.,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Мельничук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М.О.,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„</w:t>
      </w:r>
      <w:proofErr w:type="spellStart"/>
      <w:r w:rsidRPr="00877694">
        <w:rPr>
          <w:sz w:val="32"/>
          <w:szCs w:val="32"/>
        </w:rPr>
        <w:t>Часопис</w:t>
      </w:r>
      <w:proofErr w:type="spell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//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фітотерапія</w:t>
      </w:r>
      <w:proofErr w:type="spell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2004.</w:t>
      </w:r>
      <w:r w:rsidR="00D81D29">
        <w:rPr>
          <w:sz w:val="32"/>
          <w:szCs w:val="32"/>
          <w:lang w:val="uk-UA"/>
        </w:rPr>
        <w:t xml:space="preserve"> </w:t>
      </w:r>
      <w:proofErr w:type="gramStart"/>
      <w:r w:rsidR="00D81D29">
        <w:rPr>
          <w:sz w:val="32"/>
          <w:szCs w:val="32"/>
          <w:lang w:val="en-US"/>
        </w:rPr>
        <w:t>C</w:t>
      </w:r>
      <w:r w:rsidR="00D81D29">
        <w:rPr>
          <w:sz w:val="32"/>
          <w:szCs w:val="32"/>
          <w:lang w:val="uk-UA"/>
        </w:rPr>
        <w:t>25.-27.</w:t>
      </w:r>
      <w:proofErr w:type="gramEnd"/>
    </w:p>
    <w:p w:rsidR="00877694" w:rsidRPr="00777076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lang w:val="uk-UA"/>
        </w:rPr>
      </w:pPr>
      <w:r w:rsidRPr="00877694">
        <w:rPr>
          <w:sz w:val="32"/>
          <w:szCs w:val="32"/>
        </w:rPr>
        <w:t>2.</w:t>
      </w:r>
      <w:r w:rsidR="00777076" w:rsidRPr="0077707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>Особливості</w:t>
      </w:r>
      <w:proofErr w:type="spellEnd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>біологічних</w:t>
      </w:r>
      <w:proofErr w:type="spellEnd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>/</w:t>
      </w:r>
      <w:proofErr w:type="spellStart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>біотехнологічних</w:t>
      </w:r>
      <w:proofErr w:type="spellEnd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>продуктів</w:t>
      </w:r>
      <w:proofErr w:type="spellEnd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="00777076" w:rsidRPr="00777076">
        <w:rPr>
          <w:bCs/>
          <w:color w:val="000000"/>
          <w:sz w:val="32"/>
          <w:szCs w:val="32"/>
          <w:shd w:val="clear" w:color="auto" w:fill="FFFFFF"/>
        </w:rPr>
        <w:t>біосимілярів</w:t>
      </w:r>
      <w:proofErr w:type="spellEnd"/>
      <w:r w:rsidR="00777076">
        <w:rPr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777076" w:rsidRPr="00777076">
        <w:rPr>
          <w:color w:val="000000"/>
          <w:sz w:val="32"/>
          <w:szCs w:val="32"/>
          <w:shd w:val="clear" w:color="auto" w:fill="FFFFFF"/>
        </w:rPr>
        <w:t xml:space="preserve">(2013) </w:t>
      </w:r>
      <w:proofErr w:type="spellStart"/>
      <w:r w:rsidR="00777076" w:rsidRPr="00777076">
        <w:rPr>
          <w:color w:val="000000"/>
          <w:sz w:val="32"/>
          <w:szCs w:val="32"/>
          <w:shd w:val="clear" w:color="auto" w:fill="FFFFFF"/>
        </w:rPr>
        <w:t>Методичні</w:t>
      </w:r>
      <w:proofErr w:type="spellEnd"/>
      <w:r w:rsidR="00777076" w:rsidRPr="0077707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77076" w:rsidRPr="00777076">
        <w:rPr>
          <w:color w:val="000000"/>
          <w:sz w:val="32"/>
          <w:szCs w:val="32"/>
          <w:shd w:val="clear" w:color="auto" w:fill="FFFFFF"/>
        </w:rPr>
        <w:t>рекомендації</w:t>
      </w:r>
      <w:proofErr w:type="spellEnd"/>
      <w:r w:rsidR="00777076" w:rsidRPr="00777076">
        <w:rPr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777076" w:rsidRPr="00777076">
        <w:rPr>
          <w:color w:val="000000"/>
          <w:sz w:val="32"/>
          <w:szCs w:val="32"/>
          <w:shd w:val="clear" w:color="auto" w:fill="FFFFFF"/>
        </w:rPr>
        <w:t>Державного</w:t>
      </w:r>
      <w:proofErr w:type="gramEnd"/>
      <w:r w:rsidR="00777076" w:rsidRPr="0077707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77076" w:rsidRPr="00777076">
        <w:rPr>
          <w:color w:val="000000"/>
          <w:sz w:val="32"/>
          <w:szCs w:val="32"/>
          <w:shd w:val="clear" w:color="auto" w:fill="FFFFFF"/>
        </w:rPr>
        <w:t>експертного</w:t>
      </w:r>
      <w:proofErr w:type="spellEnd"/>
      <w:r w:rsidR="00777076" w:rsidRPr="00777076">
        <w:rPr>
          <w:color w:val="000000"/>
          <w:sz w:val="32"/>
          <w:szCs w:val="32"/>
          <w:shd w:val="clear" w:color="auto" w:fill="FFFFFF"/>
        </w:rPr>
        <w:t xml:space="preserve"> центру МОЗ </w:t>
      </w:r>
      <w:proofErr w:type="spellStart"/>
      <w:r w:rsidR="00777076" w:rsidRPr="00777076">
        <w:rPr>
          <w:color w:val="000000"/>
          <w:sz w:val="32"/>
          <w:szCs w:val="32"/>
          <w:shd w:val="clear" w:color="auto" w:fill="FFFFFF"/>
        </w:rPr>
        <w:t>України</w:t>
      </w:r>
      <w:proofErr w:type="spellEnd"/>
      <w:r w:rsidR="00777076" w:rsidRPr="00777076">
        <w:rPr>
          <w:color w:val="000000"/>
          <w:sz w:val="32"/>
          <w:szCs w:val="32"/>
          <w:shd w:val="clear" w:color="auto" w:fill="FFFFFF"/>
        </w:rPr>
        <w:t>, 37 с.</w:t>
      </w:r>
      <w:r w:rsidRPr="00777076">
        <w:rPr>
          <w:sz w:val="32"/>
          <w:szCs w:val="32"/>
        </w:rPr>
        <w:t xml:space="preserve"> </w:t>
      </w:r>
    </w:p>
    <w:p w:rsidR="00877694" w:rsidRPr="00877694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877694">
        <w:rPr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Пономаренко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В.И.,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Дзяк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Г.В.,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Ванханен</w:t>
      </w:r>
      <w:proofErr w:type="spell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В.В.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Биологически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активные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добавки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санаторно-курортной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диетотерапии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больных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ишемической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болезнью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сердца.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Киев: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«</w:t>
      </w:r>
      <w:proofErr w:type="spellStart"/>
      <w:r w:rsidRPr="00877694">
        <w:rPr>
          <w:sz w:val="32"/>
          <w:szCs w:val="32"/>
        </w:rPr>
        <w:t>Техмед</w:t>
      </w:r>
      <w:proofErr w:type="spellEnd"/>
      <w:r w:rsidRPr="00877694">
        <w:rPr>
          <w:sz w:val="32"/>
          <w:szCs w:val="32"/>
        </w:rPr>
        <w:t>»,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1998.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166с.</w:t>
      </w:r>
      <w:r>
        <w:rPr>
          <w:sz w:val="32"/>
          <w:szCs w:val="32"/>
        </w:rPr>
        <w:t xml:space="preserve"> </w:t>
      </w:r>
    </w:p>
    <w:p w:rsidR="00877694" w:rsidRPr="00D81D29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lang w:val="uk-UA"/>
        </w:rPr>
      </w:pPr>
      <w:r w:rsidRPr="00877694">
        <w:rPr>
          <w:sz w:val="32"/>
          <w:szCs w:val="32"/>
        </w:rPr>
        <w:t>4.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Введение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proofErr w:type="gramStart"/>
      <w:r w:rsidRPr="00877694">
        <w:rPr>
          <w:sz w:val="32"/>
          <w:szCs w:val="32"/>
        </w:rPr>
        <w:t>общую</w:t>
      </w:r>
      <w:proofErr w:type="gramEnd"/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микронутриентологию</w:t>
      </w:r>
      <w:proofErr w:type="spell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(биологически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активные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добавки).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Под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ред.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Ю.П.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Гичева</w:t>
      </w:r>
      <w:proofErr w:type="spell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Э.Огановой</w:t>
      </w:r>
      <w:proofErr w:type="spellEnd"/>
      <w:r w:rsidRPr="0087769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Новосибирск.</w:t>
      </w:r>
      <w:r w:rsidR="00D81D29">
        <w:rPr>
          <w:sz w:val="32"/>
          <w:szCs w:val="32"/>
          <w:lang w:val="uk-UA"/>
        </w:rPr>
        <w:t xml:space="preserve"> 156 </w:t>
      </w:r>
      <w:proofErr w:type="gramStart"/>
      <w:r w:rsidR="00D81D29">
        <w:rPr>
          <w:sz w:val="32"/>
          <w:szCs w:val="32"/>
          <w:lang w:val="uk-UA"/>
        </w:rPr>
        <w:t>с</w:t>
      </w:r>
      <w:proofErr w:type="gramEnd"/>
      <w:r w:rsidR="00D81D29">
        <w:rPr>
          <w:sz w:val="32"/>
          <w:szCs w:val="32"/>
          <w:lang w:val="uk-UA"/>
        </w:rPr>
        <w:t>.</w:t>
      </w:r>
    </w:p>
    <w:p w:rsidR="00877694" w:rsidRPr="00D81D29" w:rsidRDefault="00877694" w:rsidP="00D81D29">
      <w:pPr>
        <w:pStyle w:val="a4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lang w:val="uk-UA"/>
        </w:rPr>
      </w:pPr>
      <w:r w:rsidRPr="00877694">
        <w:rPr>
          <w:sz w:val="32"/>
          <w:szCs w:val="32"/>
        </w:rPr>
        <w:lastRenderedPageBreak/>
        <w:t>5.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Атлас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лекарственных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растений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СССр</w:t>
      </w:r>
      <w:proofErr w:type="spellEnd"/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Под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ред</w:t>
      </w:r>
      <w:proofErr w:type="gramStart"/>
      <w:r w:rsidRPr="00877694">
        <w:rPr>
          <w:sz w:val="32"/>
          <w:szCs w:val="32"/>
        </w:rPr>
        <w:t>.а</w:t>
      </w:r>
      <w:proofErr w:type="gramEnd"/>
      <w:r w:rsidRPr="00877694">
        <w:rPr>
          <w:sz w:val="32"/>
          <w:szCs w:val="32"/>
        </w:rPr>
        <w:t>кад.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Н.В.</w:t>
      </w:r>
      <w:r>
        <w:rPr>
          <w:sz w:val="32"/>
          <w:szCs w:val="32"/>
        </w:rPr>
        <w:t xml:space="preserve"> </w:t>
      </w:r>
      <w:proofErr w:type="spellStart"/>
      <w:r w:rsidRPr="00877694">
        <w:rPr>
          <w:sz w:val="32"/>
          <w:szCs w:val="32"/>
        </w:rPr>
        <w:t>Цицина</w:t>
      </w:r>
      <w:proofErr w:type="spellEnd"/>
      <w:r w:rsidRPr="0087769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М.: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Медицинская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литература,</w:t>
      </w:r>
      <w:r>
        <w:rPr>
          <w:sz w:val="32"/>
          <w:szCs w:val="32"/>
        </w:rPr>
        <w:t xml:space="preserve"> </w:t>
      </w:r>
      <w:r w:rsidRPr="00877694">
        <w:rPr>
          <w:sz w:val="32"/>
          <w:szCs w:val="32"/>
        </w:rPr>
        <w:t>1962.</w:t>
      </w:r>
      <w:r>
        <w:rPr>
          <w:sz w:val="32"/>
          <w:szCs w:val="32"/>
        </w:rPr>
        <w:t xml:space="preserve"> </w:t>
      </w:r>
    </w:p>
    <w:sectPr w:rsidR="00877694" w:rsidRPr="00D81D29" w:rsidSect="00D26A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7694"/>
    <w:rsid w:val="00777076"/>
    <w:rsid w:val="00877694"/>
    <w:rsid w:val="00BD3497"/>
    <w:rsid w:val="00D26A55"/>
    <w:rsid w:val="00D8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7694"/>
    <w:rPr>
      <w:color w:val="0000FF"/>
      <w:u w:val="single"/>
    </w:rPr>
  </w:style>
  <w:style w:type="paragraph" w:styleId="a4">
    <w:name w:val="Normal (Web)"/>
    <w:basedOn w:val="a"/>
    <w:uiPriority w:val="99"/>
    <w:rsid w:val="0087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7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k.wikipedia.org/wiki/%D0%9B%D1%8E%D0%B4%D0%B8%D0%BD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k.wikipedia.org/wiki/%D0%9E%D1%80%D0%B3%D0%B0%D0%BD%D1%96%D0%B7%D0%BC" TargetMode="External"/><Relationship Id="rId5" Type="http://schemas.openxmlformats.org/officeDocument/2006/relationships/hyperlink" Target="http://uk.wikipedia.org/w/index.php?title=%D0%A4%D1%96%D0%B7%D1%96%D0%BE%D0%BB%D0%BE%D0%B3%D1%96%D1%87%D0%BD%D1%96_%D0%BD%D0%BE%D1%80%D0%BC%D0%B8&amp;action=edit&amp;redlink=1" TargetMode="External"/><Relationship Id="rId4" Type="http://schemas.openxmlformats.org/officeDocument/2006/relationships/hyperlink" Target="http://uk.wikipedia.org/wiki/%D0%A5%D0%B0%D1%80%D1%87%D0%BE%D0%B2%D0%B8%D0%B9_%D0%BF%D1%80%D0%BE%D0%B4%D1%83%D0%BA%D1%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7689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2021-06-07T08:17:00Z</dcterms:created>
  <dcterms:modified xsi:type="dcterms:W3CDTF">2021-06-07T09:01:00Z</dcterms:modified>
</cp:coreProperties>
</file>