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76" w:rsidRDefault="002B0A76" w:rsidP="002B0A76">
      <w:pPr>
        <w:pStyle w:val="a9"/>
        <w:kinsoku w:val="0"/>
        <w:overflowPunct w:val="0"/>
        <w:ind w:left="0" w:firstLine="709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Дмитришин</w:t>
      </w:r>
      <w:proofErr w:type="spellEnd"/>
      <w:r>
        <w:rPr>
          <w:b/>
          <w:sz w:val="28"/>
          <w:szCs w:val="28"/>
        </w:rPr>
        <w:t xml:space="preserve"> Л.І.,</w:t>
      </w:r>
    </w:p>
    <w:p w:rsidR="002B0A76" w:rsidRDefault="002B0A76" w:rsidP="002B0A76">
      <w:pPr>
        <w:pStyle w:val="a9"/>
        <w:kinsoku w:val="0"/>
        <w:overflowPunct w:val="0"/>
        <w:ind w:left="0" w:firstLine="709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Дмитришин</w:t>
      </w:r>
      <w:proofErr w:type="spellEnd"/>
      <w:r>
        <w:rPr>
          <w:b/>
          <w:sz w:val="28"/>
          <w:szCs w:val="28"/>
        </w:rPr>
        <w:t xml:space="preserve"> Л.И.,</w:t>
      </w:r>
    </w:p>
    <w:p w:rsidR="002B0A76" w:rsidRPr="00D60A16" w:rsidRDefault="002B0A76" w:rsidP="002B0A76">
      <w:pPr>
        <w:pStyle w:val="a9"/>
        <w:kinsoku w:val="0"/>
        <w:overflowPunct w:val="0"/>
        <w:ind w:left="0" w:firstLine="709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Dmytryshyn</w:t>
      </w:r>
      <w:proofErr w:type="spellEnd"/>
      <w:r w:rsidRPr="00D60A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L</w:t>
      </w:r>
      <w:r w:rsidRPr="00D60A16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</w:t>
      </w:r>
      <w:r w:rsidRPr="00D60A16">
        <w:rPr>
          <w:b/>
          <w:sz w:val="28"/>
          <w:szCs w:val="28"/>
        </w:rPr>
        <w:t>.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proofErr w:type="spellStart"/>
      <w:r w:rsidRPr="000B4A11">
        <w:rPr>
          <w:sz w:val="28"/>
          <w:szCs w:val="28"/>
        </w:rPr>
        <w:t>д.е.н</w:t>
      </w:r>
      <w:proofErr w:type="spellEnd"/>
      <w:r w:rsidRPr="000B4A11">
        <w:rPr>
          <w:sz w:val="28"/>
          <w:szCs w:val="28"/>
        </w:rPr>
        <w:t xml:space="preserve">., проф. 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r w:rsidRPr="000B4A11">
        <w:rPr>
          <w:sz w:val="28"/>
          <w:szCs w:val="28"/>
        </w:rPr>
        <w:t>кафедра економічної кібернетики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r w:rsidRPr="000B4A11">
        <w:rPr>
          <w:sz w:val="28"/>
          <w:szCs w:val="28"/>
        </w:rPr>
        <w:t>Прикарпатський національний університет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r w:rsidRPr="000B4A11">
        <w:rPr>
          <w:sz w:val="28"/>
          <w:szCs w:val="28"/>
        </w:rPr>
        <w:t>імені Василя Стефаника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19"/>
          <w:shd w:val="clear" w:color="auto" w:fill="FFFFFF"/>
        </w:rPr>
        <w:t>d</w:t>
      </w:r>
      <w:r w:rsidRPr="000B4A11">
        <w:rPr>
          <w:sz w:val="28"/>
          <w:szCs w:val="19"/>
          <w:shd w:val="clear" w:color="auto" w:fill="FFFFFF"/>
        </w:rPr>
        <w:t>mytryshyn</w:t>
      </w:r>
      <w:proofErr w:type="spellEnd"/>
      <w:r w:rsidRPr="000B4A11">
        <w:rPr>
          <w:sz w:val="28"/>
          <w:szCs w:val="19"/>
          <w:shd w:val="clear" w:color="auto" w:fill="FFFFFF"/>
        </w:rPr>
        <w:t>_</w:t>
      </w:r>
      <w:r>
        <w:rPr>
          <w:sz w:val="28"/>
          <w:szCs w:val="19"/>
          <w:shd w:val="clear" w:color="auto" w:fill="FFFFFF"/>
          <w:lang w:val="en-US"/>
        </w:rPr>
        <w:t>l</w:t>
      </w:r>
      <w:r w:rsidRPr="000B4A11">
        <w:rPr>
          <w:sz w:val="28"/>
          <w:szCs w:val="19"/>
          <w:shd w:val="clear" w:color="auto" w:fill="FFFFFF"/>
        </w:rPr>
        <w:t>@hotmail.com</w:t>
      </w:r>
    </w:p>
    <w:p w:rsidR="002B0A76" w:rsidRPr="00790BB2" w:rsidRDefault="002B0A76" w:rsidP="002B0A76">
      <w:pPr>
        <w:pStyle w:val="a9"/>
        <w:kinsoku w:val="0"/>
        <w:overflowPunct w:val="0"/>
        <w:ind w:left="0" w:firstLine="709"/>
        <w:jc w:val="right"/>
        <w:rPr>
          <w:b/>
          <w:sz w:val="28"/>
          <w:szCs w:val="28"/>
        </w:rPr>
      </w:pPr>
      <w:r w:rsidRPr="00790BB2">
        <w:rPr>
          <w:b/>
          <w:sz w:val="28"/>
          <w:szCs w:val="28"/>
        </w:rPr>
        <w:t>Кушнір О.С.,</w:t>
      </w:r>
    </w:p>
    <w:p w:rsidR="002B0A76" w:rsidRPr="00790BB2" w:rsidRDefault="002B0A76" w:rsidP="002B0A76">
      <w:pPr>
        <w:pStyle w:val="a9"/>
        <w:kinsoku w:val="0"/>
        <w:overflowPunct w:val="0"/>
        <w:ind w:left="0" w:firstLine="709"/>
        <w:jc w:val="right"/>
        <w:rPr>
          <w:b/>
          <w:sz w:val="28"/>
          <w:szCs w:val="28"/>
        </w:rPr>
      </w:pPr>
      <w:proofErr w:type="spellStart"/>
      <w:r w:rsidRPr="00790BB2">
        <w:rPr>
          <w:b/>
          <w:sz w:val="28"/>
          <w:szCs w:val="28"/>
        </w:rPr>
        <w:t>Кушнир</w:t>
      </w:r>
      <w:proofErr w:type="spellEnd"/>
      <w:r w:rsidRPr="00790BB2">
        <w:rPr>
          <w:b/>
          <w:sz w:val="28"/>
          <w:szCs w:val="28"/>
        </w:rPr>
        <w:t xml:space="preserve"> О.С.,</w:t>
      </w:r>
    </w:p>
    <w:p w:rsidR="002B0A76" w:rsidRPr="00790BB2" w:rsidRDefault="002B0A76" w:rsidP="002B0A76">
      <w:pPr>
        <w:pStyle w:val="a9"/>
        <w:kinsoku w:val="0"/>
        <w:overflowPunct w:val="0"/>
        <w:ind w:left="0" w:firstLine="709"/>
        <w:jc w:val="right"/>
        <w:rPr>
          <w:b/>
          <w:sz w:val="28"/>
          <w:szCs w:val="28"/>
        </w:rPr>
      </w:pPr>
      <w:proofErr w:type="spellStart"/>
      <w:r w:rsidRPr="00790BB2">
        <w:rPr>
          <w:b/>
          <w:sz w:val="28"/>
          <w:szCs w:val="28"/>
        </w:rPr>
        <w:t>Kushnir</w:t>
      </w:r>
      <w:proofErr w:type="spellEnd"/>
      <w:r w:rsidRPr="00790BB2">
        <w:rPr>
          <w:b/>
          <w:sz w:val="28"/>
          <w:szCs w:val="28"/>
        </w:rPr>
        <w:t xml:space="preserve"> O.S.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r w:rsidRPr="000B4A11">
        <w:rPr>
          <w:sz w:val="28"/>
          <w:szCs w:val="28"/>
        </w:rPr>
        <w:t>аспірант кафедри економічної кібернетики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r w:rsidRPr="000B4A11">
        <w:rPr>
          <w:sz w:val="28"/>
          <w:szCs w:val="28"/>
        </w:rPr>
        <w:t>Прикарпатський національний університет</w:t>
      </w:r>
    </w:p>
    <w:p w:rsidR="002B0A76" w:rsidRPr="000B4A11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r w:rsidRPr="000B4A11">
        <w:rPr>
          <w:sz w:val="28"/>
          <w:szCs w:val="28"/>
        </w:rPr>
        <w:t>імені Василя Стефаника</w:t>
      </w:r>
    </w:p>
    <w:p w:rsidR="002B0A76" w:rsidRPr="00790BB2" w:rsidRDefault="002B0A76" w:rsidP="002B0A76">
      <w:pPr>
        <w:pStyle w:val="a9"/>
        <w:kinsoku w:val="0"/>
        <w:overflowPunct w:val="0"/>
        <w:ind w:left="0" w:firstLine="709"/>
        <w:jc w:val="right"/>
        <w:rPr>
          <w:sz w:val="28"/>
          <w:szCs w:val="28"/>
        </w:rPr>
      </w:pPr>
      <w:hyperlink r:id="rId6" w:history="1">
        <w:r w:rsidRPr="00790BB2">
          <w:rPr>
            <w:sz w:val="28"/>
            <w:szCs w:val="28"/>
          </w:rPr>
          <w:t>dregon19021992@gmail.com</w:t>
        </w:r>
      </w:hyperlink>
    </w:p>
    <w:p w:rsidR="002B0A76" w:rsidRPr="002B0A76" w:rsidRDefault="002B0A76" w:rsidP="002B0A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D62" w:rsidRPr="008B1D62" w:rsidRDefault="00AB7A3C" w:rsidP="00F820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СУЧАСНІ ТЕХНОЛОГІЇ</w:t>
      </w:r>
      <w:r w:rsidRPr="008B1D62">
        <w:rPr>
          <w:rFonts w:ascii="Times New Roman" w:hAnsi="Times New Roman" w:cs="Times New Roman"/>
          <w:b/>
          <w:sz w:val="28"/>
          <w:szCs w:val="28"/>
        </w:rPr>
        <w:t xml:space="preserve"> ОЦІНКИ ОПЕРАЦІЙН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8B1D62">
        <w:rPr>
          <w:rFonts w:ascii="Times New Roman" w:hAnsi="Times New Roman" w:cs="Times New Roman"/>
          <w:b/>
          <w:sz w:val="28"/>
          <w:szCs w:val="28"/>
        </w:rPr>
        <w:t xml:space="preserve"> РИЗИК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Pr="008B1D6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БАНКУ</w:t>
      </w:r>
      <w:r w:rsidRPr="008B1D6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>
        <w:rPr>
          <w:rFonts w:ascii="Times New Roman" w:hAnsi="Times New Roman" w:cs="Times New Roman"/>
          <w:b/>
          <w:sz w:val="28"/>
          <w:szCs w:val="28"/>
        </w:rPr>
        <w:t>ЇХ АЛОКАЦІЇ ЗА БІЗНЕС-ОДИНИЦЯМИ</w:t>
      </w:r>
    </w:p>
    <w:p w:rsidR="0024596E" w:rsidRDefault="0024596E" w:rsidP="00A876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EF8" w:rsidRDefault="005C0EF8" w:rsidP="005C0E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EF8">
        <w:rPr>
          <w:rFonts w:ascii="Times New Roman" w:hAnsi="Times New Roman" w:cs="Times New Roman"/>
          <w:sz w:val="28"/>
          <w:szCs w:val="28"/>
        </w:rPr>
        <w:t>Оцінка і алокація</w:t>
      </w:r>
      <w:r>
        <w:rPr>
          <w:rFonts w:ascii="Times New Roman" w:hAnsi="Times New Roman" w:cs="Times New Roman"/>
          <w:sz w:val="28"/>
          <w:szCs w:val="28"/>
        </w:rPr>
        <w:t xml:space="preserve"> економічного</w:t>
      </w:r>
      <w:r w:rsidRPr="005C0EF8">
        <w:rPr>
          <w:rFonts w:ascii="Times New Roman" w:hAnsi="Times New Roman" w:cs="Times New Roman"/>
          <w:sz w:val="28"/>
          <w:szCs w:val="28"/>
        </w:rPr>
        <w:t xml:space="preserve"> капіталу під операційний ризик є важливими елементами процесів бізнес-планування і прийняття управлінських рішень в банку.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EF8">
        <w:rPr>
          <w:rFonts w:ascii="Times New Roman" w:hAnsi="Times New Roman" w:cs="Times New Roman"/>
          <w:sz w:val="28"/>
          <w:szCs w:val="28"/>
        </w:rPr>
        <w:t>Вп</w:t>
      </w:r>
      <w:r>
        <w:rPr>
          <w:rFonts w:ascii="Times New Roman" w:hAnsi="Times New Roman" w:cs="Times New Roman"/>
          <w:sz w:val="28"/>
          <w:szCs w:val="28"/>
        </w:rPr>
        <w:t>ровадження системи оцінки та алокації</w:t>
      </w:r>
      <w:r w:rsidRPr="005C0EF8">
        <w:rPr>
          <w:rFonts w:ascii="Times New Roman" w:hAnsi="Times New Roman" w:cs="Times New Roman"/>
          <w:sz w:val="28"/>
          <w:szCs w:val="28"/>
        </w:rPr>
        <w:t xml:space="preserve"> капіталу під операційний ризик</w:t>
      </w:r>
      <w:r>
        <w:rPr>
          <w:rFonts w:ascii="Times New Roman" w:hAnsi="Times New Roman" w:cs="Times New Roman"/>
          <w:sz w:val="28"/>
          <w:szCs w:val="28"/>
        </w:rPr>
        <w:t xml:space="preserve"> забезпечує надійність банку для вкладників і кредиторів; стимулює управління рівнем операційного ризику шляхом використання </w:t>
      </w:r>
      <w:r>
        <w:rPr>
          <w:rFonts w:ascii="Times New Roman" w:hAnsi="Times New Roman" w:cs="Times New Roman"/>
          <w:sz w:val="28"/>
          <w:szCs w:val="28"/>
          <w:lang w:val="en-US"/>
        </w:rPr>
        <w:t>RARORAC</w:t>
      </w:r>
      <w:r>
        <w:rPr>
          <w:rFonts w:ascii="Times New Roman" w:hAnsi="Times New Roman" w:cs="Times New Roman"/>
          <w:sz w:val="28"/>
          <w:szCs w:val="28"/>
        </w:rPr>
        <w:t>, до складу якого входить економічний капітал під операційний ризик; розподіляє відповідальність за рівень операційного ризику, пов’язаний з діяльністю кожної бізнес-одиниці.</w:t>
      </w:r>
    </w:p>
    <w:p w:rsidR="000A2E51" w:rsidRPr="000A2E51" w:rsidRDefault="0024596E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Даній </w:t>
      </w:r>
      <w:r w:rsidRPr="0024596E">
        <w:rPr>
          <w:rFonts w:ascii="Times New Roman" w:hAnsi="Times New Roman" w:cs="Times New Roman"/>
          <w:sz w:val="28"/>
          <w:szCs w:val="28"/>
        </w:rPr>
        <w:t xml:space="preserve">тематиці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596E">
        <w:rPr>
          <w:rFonts w:ascii="Times New Roman" w:eastAsia="Calibri" w:hAnsi="Times New Roman" w:cs="Times New Roman"/>
          <w:sz w:val="28"/>
          <w:szCs w:val="28"/>
        </w:rPr>
        <w:t>рисвячені роботи [1-</w:t>
      </w:r>
      <w:r w:rsidR="00415CB8">
        <w:rPr>
          <w:rFonts w:ascii="Times New Roman" w:eastAsia="Calibri" w:hAnsi="Times New Roman" w:cs="Times New Roman"/>
          <w:sz w:val="28"/>
          <w:szCs w:val="28"/>
        </w:rPr>
        <w:t>4</w:t>
      </w:r>
      <w:r w:rsidRPr="0024596E">
        <w:rPr>
          <w:rFonts w:ascii="Times New Roman" w:eastAsia="Calibri" w:hAnsi="Times New Roman" w:cs="Times New Roman"/>
          <w:sz w:val="28"/>
          <w:szCs w:val="28"/>
        </w:rPr>
        <w:t xml:space="preserve">], в </w:t>
      </w:r>
      <w:r w:rsidR="00415CB8">
        <w:rPr>
          <w:rFonts w:ascii="Times New Roman" w:eastAsia="Calibri" w:hAnsi="Times New Roman" w:cs="Times New Roman"/>
          <w:sz w:val="28"/>
          <w:szCs w:val="28"/>
        </w:rPr>
        <w:t>як</w:t>
      </w:r>
      <w:r w:rsidRPr="0024596E">
        <w:rPr>
          <w:rFonts w:ascii="Times New Roman" w:eastAsia="Calibri" w:hAnsi="Times New Roman" w:cs="Times New Roman"/>
          <w:sz w:val="28"/>
          <w:szCs w:val="28"/>
        </w:rPr>
        <w:t>их наводиться детальний опис підх</w:t>
      </w:r>
      <w:r w:rsidRPr="0024596E">
        <w:rPr>
          <w:rFonts w:ascii="Times New Roman" w:hAnsi="Times New Roman" w:cs="Times New Roman"/>
          <w:sz w:val="28"/>
          <w:szCs w:val="28"/>
        </w:rPr>
        <w:t>о</w:t>
      </w:r>
      <w:r w:rsidRPr="0024596E">
        <w:rPr>
          <w:rFonts w:ascii="Times New Roman" w:eastAsia="Calibri" w:hAnsi="Times New Roman" w:cs="Times New Roman"/>
          <w:sz w:val="28"/>
          <w:szCs w:val="28"/>
        </w:rPr>
        <w:t>д</w:t>
      </w:r>
      <w:r w:rsidRPr="0024596E">
        <w:rPr>
          <w:rFonts w:ascii="Times New Roman" w:hAnsi="Times New Roman" w:cs="Times New Roman"/>
          <w:sz w:val="28"/>
          <w:szCs w:val="28"/>
        </w:rPr>
        <w:t>у</w:t>
      </w:r>
      <w:r w:rsidRPr="0024596E">
        <w:rPr>
          <w:rFonts w:ascii="Times New Roman" w:eastAsia="Calibri" w:hAnsi="Times New Roman" w:cs="Times New Roman"/>
          <w:sz w:val="28"/>
          <w:szCs w:val="28"/>
        </w:rPr>
        <w:t>, заснован</w:t>
      </w:r>
      <w:r w:rsidRPr="0024596E">
        <w:rPr>
          <w:rFonts w:ascii="Times New Roman" w:hAnsi="Times New Roman" w:cs="Times New Roman"/>
          <w:sz w:val="28"/>
          <w:szCs w:val="28"/>
        </w:rPr>
        <w:t>ого</w:t>
      </w:r>
      <w:r w:rsidRPr="0024596E">
        <w:rPr>
          <w:rFonts w:ascii="Times New Roman" w:eastAsia="Calibri" w:hAnsi="Times New Roman" w:cs="Times New Roman"/>
          <w:sz w:val="28"/>
          <w:szCs w:val="28"/>
        </w:rPr>
        <w:t xml:space="preserve"> на функції розподілу втрат</w:t>
      </w:r>
      <w:r w:rsidRPr="0024596E">
        <w:rPr>
          <w:rFonts w:ascii="Times New Roman" w:hAnsi="Times New Roman" w:cs="Times New Roman"/>
          <w:sz w:val="28"/>
          <w:szCs w:val="28"/>
        </w:rPr>
        <w:t xml:space="preserve"> </w:t>
      </w:r>
      <w:r w:rsidRPr="0024596E">
        <w:rPr>
          <w:rFonts w:ascii="Times New Roman" w:eastAsia="Calibri" w:hAnsi="Times New Roman" w:cs="Times New Roman"/>
          <w:sz w:val="28"/>
          <w:szCs w:val="28"/>
        </w:rPr>
        <w:t xml:space="preserve">і практика його застосування в </w:t>
      </w:r>
      <w:proofErr w:type="spellStart"/>
      <w:r w:rsidRPr="0024596E">
        <w:rPr>
          <w:rFonts w:ascii="Times New Roman" w:eastAsia="Calibri" w:hAnsi="Times New Roman" w:cs="Times New Roman"/>
          <w:sz w:val="28"/>
          <w:szCs w:val="28"/>
        </w:rPr>
        <w:t>DeutcheBank</w:t>
      </w:r>
      <w:proofErr w:type="spellEnd"/>
      <w:r w:rsidRPr="0024596E">
        <w:rPr>
          <w:rFonts w:ascii="Times New Roman" w:eastAsia="Calibri" w:hAnsi="Times New Roman" w:cs="Times New Roman"/>
          <w:sz w:val="28"/>
          <w:szCs w:val="28"/>
        </w:rPr>
        <w:t>. Розглядаються питання оцінки і алокації ризик-капіталу по бізнес-лініях і типах подій. У тому числі наводиться опис методу Ейлера для алокації капіталу. Теоретичні аспекти алокації капіталу розглядаються в роботах [</w:t>
      </w:r>
      <w:r w:rsidR="00415CB8">
        <w:rPr>
          <w:rFonts w:ascii="Times New Roman" w:eastAsia="Calibri" w:hAnsi="Times New Roman" w:cs="Times New Roman"/>
          <w:sz w:val="28"/>
          <w:szCs w:val="28"/>
        </w:rPr>
        <w:t xml:space="preserve">1-2, </w:t>
      </w:r>
      <w:r w:rsidRPr="0024596E">
        <w:rPr>
          <w:rFonts w:ascii="Times New Roman" w:eastAsia="Calibri" w:hAnsi="Times New Roman" w:cs="Times New Roman"/>
          <w:sz w:val="28"/>
          <w:szCs w:val="28"/>
        </w:rPr>
        <w:t>5</w:t>
      </w:r>
      <w:r w:rsidR="00415CB8">
        <w:rPr>
          <w:rFonts w:ascii="Times New Roman" w:eastAsia="Calibri" w:hAnsi="Times New Roman" w:cs="Times New Roman"/>
          <w:sz w:val="28"/>
          <w:szCs w:val="28"/>
        </w:rPr>
        <w:t>-6</w:t>
      </w:r>
      <w:r w:rsidR="00415CB8" w:rsidRPr="00415CB8">
        <w:rPr>
          <w:rFonts w:ascii="Times New Roman" w:eastAsia="Calibri" w:hAnsi="Times New Roman" w:cs="Times New Roman"/>
          <w:sz w:val="28"/>
          <w:szCs w:val="28"/>
        </w:rPr>
        <w:t>]</w:t>
      </w:r>
      <w:r w:rsidR="00415CB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Отже, </w:t>
      </w:r>
      <w:r w:rsidR="00415CB8">
        <w:rPr>
          <w:rFonts w:ascii="Times New Roman" w:hAnsi="Times New Roman" w:cs="Times New Roman"/>
          <w:sz w:val="28"/>
          <w:szCs w:val="28"/>
        </w:rPr>
        <w:t xml:space="preserve">існуючі </w:t>
      </w:r>
      <w:r w:rsidRPr="000A2E51">
        <w:rPr>
          <w:rFonts w:ascii="Times New Roman" w:hAnsi="Times New Roman" w:cs="Times New Roman"/>
          <w:sz w:val="28"/>
          <w:szCs w:val="28"/>
        </w:rPr>
        <w:t>методи</w:t>
      </w:r>
      <w:r w:rsidR="00415CB8">
        <w:rPr>
          <w:rFonts w:ascii="Times New Roman" w:hAnsi="Times New Roman" w:cs="Times New Roman"/>
          <w:sz w:val="28"/>
          <w:szCs w:val="28"/>
        </w:rPr>
        <w:t>ки</w:t>
      </w:r>
      <w:r w:rsidRPr="000A2E51">
        <w:rPr>
          <w:rFonts w:ascii="Times New Roman" w:hAnsi="Times New Roman" w:cs="Times New Roman"/>
          <w:sz w:val="28"/>
          <w:szCs w:val="28"/>
        </w:rPr>
        <w:t xml:space="preserve"> </w:t>
      </w:r>
      <w:r w:rsidR="000A2E51" w:rsidRPr="000A2E51">
        <w:rPr>
          <w:rFonts w:ascii="Times New Roman" w:hAnsi="Times New Roman" w:cs="Times New Roman"/>
          <w:sz w:val="28"/>
          <w:szCs w:val="28"/>
        </w:rPr>
        <w:t>управління вартістю банку шляхом впровадження чутливих до ризику коефіцієнтів виробничої ефект</w:t>
      </w:r>
      <w:r w:rsidR="000A2E51">
        <w:rPr>
          <w:rFonts w:ascii="Times New Roman" w:hAnsi="Times New Roman" w:cs="Times New Roman"/>
          <w:sz w:val="28"/>
          <w:szCs w:val="28"/>
        </w:rPr>
        <w:t>ивності спираються на процес алокації</w:t>
      </w:r>
      <w:r>
        <w:rPr>
          <w:rFonts w:ascii="Times New Roman" w:hAnsi="Times New Roman" w:cs="Times New Roman"/>
          <w:sz w:val="28"/>
          <w:szCs w:val="28"/>
        </w:rPr>
        <w:t xml:space="preserve"> ризик-капіталу за</w:t>
      </w:r>
      <w:r w:rsidR="000A2E51" w:rsidRPr="000A2E51">
        <w:rPr>
          <w:rFonts w:ascii="Times New Roman" w:hAnsi="Times New Roman" w:cs="Times New Roman"/>
          <w:sz w:val="28"/>
          <w:szCs w:val="28"/>
        </w:rPr>
        <w:t xml:space="preserve"> </w:t>
      </w:r>
      <w:r w:rsidR="000A2E51" w:rsidRPr="000A2E51">
        <w:rPr>
          <w:rFonts w:ascii="Times New Roman" w:hAnsi="Times New Roman" w:cs="Times New Roman"/>
          <w:sz w:val="28"/>
          <w:szCs w:val="28"/>
        </w:rPr>
        <w:lastRenderedPageBreak/>
        <w:t>бізнес-одиниця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0A2E51" w:rsidRPr="000A2E51">
        <w:rPr>
          <w:rFonts w:ascii="Times New Roman" w:hAnsi="Times New Roman" w:cs="Times New Roman"/>
          <w:sz w:val="28"/>
          <w:szCs w:val="28"/>
        </w:rPr>
        <w:t>, що під</w:t>
      </w:r>
      <w:r w:rsidR="000A2E51">
        <w:rPr>
          <w:rFonts w:ascii="Times New Roman" w:hAnsi="Times New Roman" w:cs="Times New Roman"/>
          <w:sz w:val="28"/>
          <w:szCs w:val="28"/>
        </w:rPr>
        <w:t>німає проблему вибору методу алокації</w:t>
      </w:r>
      <w:r w:rsidR="000A2E51" w:rsidRPr="000A2E51">
        <w:rPr>
          <w:rFonts w:ascii="Times New Roman" w:hAnsi="Times New Roman" w:cs="Times New Roman"/>
          <w:sz w:val="28"/>
          <w:szCs w:val="28"/>
        </w:rPr>
        <w:t xml:space="preserve"> капіталу, </w:t>
      </w:r>
      <w:r>
        <w:rPr>
          <w:rFonts w:ascii="Times New Roman" w:hAnsi="Times New Roman" w:cs="Times New Roman"/>
          <w:sz w:val="28"/>
          <w:szCs w:val="28"/>
        </w:rPr>
        <w:t xml:space="preserve">який би </w:t>
      </w:r>
      <w:r w:rsidR="000A2E51" w:rsidRPr="000A2E51">
        <w:rPr>
          <w:rFonts w:ascii="Times New Roman" w:hAnsi="Times New Roman" w:cs="Times New Roman"/>
          <w:sz w:val="28"/>
          <w:szCs w:val="28"/>
        </w:rPr>
        <w:t>найкращим чином відобража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A2E51" w:rsidRPr="000A2E51">
        <w:rPr>
          <w:rFonts w:ascii="Times New Roman" w:hAnsi="Times New Roman" w:cs="Times New Roman"/>
          <w:sz w:val="28"/>
          <w:szCs w:val="28"/>
        </w:rPr>
        <w:t xml:space="preserve"> внесок кожної бізнес-одиниці (внутрішнього структурного підро</w:t>
      </w:r>
      <w:r w:rsidR="00415CB8">
        <w:rPr>
          <w:rFonts w:ascii="Times New Roman" w:hAnsi="Times New Roman" w:cs="Times New Roman"/>
          <w:sz w:val="28"/>
          <w:szCs w:val="28"/>
        </w:rPr>
        <w:t>зділу) в загальний ризик банку.</w:t>
      </w:r>
    </w:p>
    <w:p w:rsidR="00415CB8" w:rsidRPr="008E1803" w:rsidRDefault="00415CB8" w:rsidP="00415CB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Поява нових і ускладнення існуючих банківських продуктів і процесів, а також бурхливий розвиток інформаційних технологій сприяли усвідомленню важливості управління операційним ризиком.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Ця нагальна проблема знайшла відображення в документі Базельського комітету з питань банківського нагляду «Міжнародна конвергенція виміру капіталу і стандартів капіталу: нові підходи» (Б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азель ІІ) 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— кредитно-фінансовим установам було запропоновано резервувати капітал під збитки через операційний ризик. Незважаючи на те, що документи Базельського комітету носять рекомендаційний характер, вони знаходять законодавче втілення серед країн-учасниць комітету.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Одним з ключових пунктів пакету рекомендацій Базель II є введення нормативу мінімально достатнього рівня капіталу для покриття операційних ризиків.</w:t>
      </w:r>
    </w:p>
    <w:p w:rsidR="00415CB8" w:rsidRPr="008E1803" w:rsidRDefault="00415CB8" w:rsidP="00415CB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Базелі II передбачені наступні підходи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для розрахунку нормативу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415CB8" w:rsidRPr="00C937FE" w:rsidRDefault="00415CB8" w:rsidP="00415CB8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базовий індикативний підхід (BIA,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Basic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Indicator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Approach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);</w:t>
      </w:r>
    </w:p>
    <w:p w:rsidR="00415CB8" w:rsidRPr="00C937FE" w:rsidRDefault="00415CB8" w:rsidP="00415CB8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стандартизований підхід (TSA,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The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Standardized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Approach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) і альтернативний стандартизований підхід (ASA);</w:t>
      </w:r>
    </w:p>
    <w:p w:rsidR="00415CB8" w:rsidRPr="00C937FE" w:rsidRDefault="00415CB8" w:rsidP="00415CB8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передові підходи до оцінки ризику (AMA,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Advanced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Measurement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Approach</w:t>
      </w:r>
      <w:proofErr w:type="spellEnd"/>
      <w:r w:rsidRPr="00C937FE">
        <w:rPr>
          <w:rFonts w:ascii="Times New Roman" w:hAnsi="Times New Roman"/>
          <w:color w:val="000000"/>
          <w:sz w:val="28"/>
          <w:szCs w:val="28"/>
          <w:lang w:eastAsia="uk-UA"/>
        </w:rPr>
        <w:t>).</w:t>
      </w:r>
    </w:p>
    <w:p w:rsidR="00C778A9" w:rsidRPr="00C778A9" w:rsidRDefault="00415CB8" w:rsidP="00C778A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Два найпростіших (метод базового індикатора та стандартизований підхід) визначають величину резервування капіталу як частку від валового доходу, в той час як третій метод — передові методи оцінки — дозволяє банківським установам розробляти власні моделі для оцінювання капіталу, достатнього для формування резервів під операційний ризик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 мають </w:t>
      </w:r>
      <w:r w:rsidR="00C778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 меті </w:t>
      </w:r>
      <w:r w:rsidR="00C778A9" w:rsidRPr="00C778A9">
        <w:rPr>
          <w:rFonts w:ascii="Times New Roman" w:hAnsi="Times New Roman"/>
          <w:color w:val="000000"/>
          <w:sz w:val="28"/>
          <w:szCs w:val="28"/>
          <w:lang w:eastAsia="uk-UA"/>
        </w:rPr>
        <w:t>збільшити результати</w:t>
      </w:r>
      <w:r w:rsidR="00C778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 w:rsidR="00C778A9" w:rsidRPr="00C778A9">
        <w:rPr>
          <w:rFonts w:ascii="Times New Roman" w:hAnsi="Times New Roman"/>
          <w:color w:val="000000"/>
          <w:sz w:val="28"/>
          <w:szCs w:val="28"/>
          <w:lang w:eastAsia="uk-UA"/>
        </w:rPr>
        <w:t>скоротити ризик</w:t>
      </w:r>
      <w:r w:rsidR="00C778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п</w:t>
      </w:r>
      <w:r w:rsidR="00C778A9" w:rsidRPr="00C778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окращити якість </w:t>
      </w:r>
      <w:r w:rsidR="00C778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пропонованого </w:t>
      </w:r>
      <w:r w:rsidR="00C778A9" w:rsidRPr="00C778A9">
        <w:rPr>
          <w:rFonts w:ascii="Times New Roman" w:hAnsi="Times New Roman"/>
          <w:color w:val="000000"/>
          <w:sz w:val="28"/>
          <w:szCs w:val="28"/>
          <w:lang w:eastAsia="uk-UA"/>
        </w:rPr>
        <w:t>продукту</w:t>
      </w:r>
      <w:r w:rsidR="00C778A9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:rsidR="00415CB8" w:rsidRPr="008E1803" w:rsidRDefault="00415CB8" w:rsidP="00415CB8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Банк</w:t>
      </w:r>
      <w:r w:rsidR="008535D8">
        <w:rPr>
          <w:rFonts w:ascii="Times New Roman" w:hAnsi="Times New Roman"/>
          <w:color w:val="000000"/>
          <w:sz w:val="28"/>
          <w:szCs w:val="28"/>
          <w:lang w:eastAsia="uk-UA"/>
        </w:rPr>
        <w:t>и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мають змогу переходити від одного підходу для оцінки операційних ризиків до іншого в міру вдосконалення методів оцінки 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операційних ризиків всередині </w:t>
      </w:r>
      <w:r w:rsidR="008535D8">
        <w:rPr>
          <w:rFonts w:ascii="Times New Roman" w:hAnsi="Times New Roman"/>
          <w:color w:val="000000"/>
          <w:sz w:val="28"/>
          <w:szCs w:val="28"/>
          <w:lang w:eastAsia="uk-UA"/>
        </w:rPr>
        <w:t>банку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впровадження практики контролю. Дозволяється </w:t>
      </w:r>
      <w:r w:rsidR="00C778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також 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комбінування підходів. Найбільш вигідним з точки зору споживаного капіталу для великих </w:t>
      </w:r>
      <w:r w:rsidR="00C778A9">
        <w:rPr>
          <w:rFonts w:ascii="Times New Roman" w:hAnsi="Times New Roman"/>
          <w:color w:val="000000"/>
          <w:sz w:val="28"/>
          <w:szCs w:val="28"/>
          <w:lang w:eastAsia="uk-UA"/>
        </w:rPr>
        <w:t>(зазвичай т</w:t>
      </w:r>
      <w:r w:rsidRPr="008E1803">
        <w:rPr>
          <w:rFonts w:ascii="Times New Roman" w:hAnsi="Times New Roman"/>
          <w:color w:val="000000"/>
          <w:sz w:val="28"/>
          <w:szCs w:val="28"/>
          <w:lang w:eastAsia="uk-UA"/>
        </w:rPr>
        <w:t>ранснаціональних) банків був і залишається передовий підхід до оцінки ризику в силу того, що він дозволяє враховувати специфіку діяльності конкретного банку і характер його операційних ризиків. Крім цього він враховує заходи з контролю і мінімізації ризиків, що дозволяє банку зменшити вимоги до нормативу капіталу. Реалізація передового підходу може мати відчутні відмінності в різних фінансових організаціях, але в будь-якому випадку повинна бути схвалена національним регулятором.</w:t>
      </w:r>
    </w:p>
    <w:p w:rsidR="00C778A9" w:rsidRPr="008E1803" w:rsidRDefault="00C778A9" w:rsidP="00C778A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NewRomanPS-ItalicMT" w:hAnsi="Times New Roman"/>
          <w:sz w:val="28"/>
          <w:szCs w:val="28"/>
        </w:rPr>
      </w:pPr>
      <w:r w:rsidRPr="008E1803">
        <w:rPr>
          <w:rFonts w:ascii="Times New Roman" w:eastAsia="TimesNewRomanPS-ItalicMT" w:hAnsi="Times New Roman"/>
          <w:sz w:val="28"/>
          <w:szCs w:val="28"/>
        </w:rPr>
        <w:t>Передові підходи АМА (</w:t>
      </w:r>
      <w:proofErr w:type="spellStart"/>
      <w:r w:rsidRPr="008E1803">
        <w:rPr>
          <w:rFonts w:ascii="Times New Roman" w:eastAsia="TimesNewRomanPS-ItalicMT" w:hAnsi="Times New Roman"/>
          <w:sz w:val="28"/>
          <w:szCs w:val="28"/>
        </w:rPr>
        <w:t>Advanced</w:t>
      </w:r>
      <w:proofErr w:type="spellEnd"/>
      <w:r w:rsidRPr="008E1803">
        <w:rPr>
          <w:rFonts w:ascii="Times New Roman" w:eastAsia="TimesNewRomanPS-ItalicMT" w:hAnsi="Times New Roman"/>
          <w:sz w:val="28"/>
          <w:szCs w:val="28"/>
        </w:rPr>
        <w:t xml:space="preserve"> </w:t>
      </w:r>
      <w:proofErr w:type="spellStart"/>
      <w:r w:rsidRPr="008E1803">
        <w:rPr>
          <w:rFonts w:ascii="Times New Roman" w:eastAsia="TimesNewRomanPS-ItalicMT" w:hAnsi="Times New Roman"/>
          <w:sz w:val="28"/>
          <w:szCs w:val="28"/>
        </w:rPr>
        <w:t>Measurement</w:t>
      </w:r>
      <w:proofErr w:type="spellEnd"/>
      <w:r w:rsidRPr="008E1803">
        <w:rPr>
          <w:rFonts w:ascii="Times New Roman" w:eastAsia="TimesNewRomanPS-ItalicMT" w:hAnsi="Times New Roman"/>
          <w:sz w:val="28"/>
          <w:szCs w:val="28"/>
        </w:rPr>
        <w:t xml:space="preserve"> </w:t>
      </w:r>
      <w:proofErr w:type="spellStart"/>
      <w:r w:rsidRPr="008E1803">
        <w:rPr>
          <w:rFonts w:ascii="Times New Roman" w:eastAsia="TimesNewRomanPS-ItalicMT" w:hAnsi="Times New Roman"/>
          <w:sz w:val="28"/>
          <w:szCs w:val="28"/>
        </w:rPr>
        <w:t>Approach</w:t>
      </w:r>
      <w:proofErr w:type="spellEnd"/>
      <w:r w:rsidRPr="008E1803">
        <w:rPr>
          <w:rFonts w:ascii="Times New Roman" w:eastAsia="TimesNewRomanPS-ItalicMT" w:hAnsi="Times New Roman"/>
          <w:sz w:val="28"/>
          <w:szCs w:val="28"/>
        </w:rPr>
        <w:t>) передбачають активне застосування в банківській практиці власних моделей аналізу оцінки операційних ризиків. Розраховані на основі цих моделей оцінки втрат через операційні ризики приймаються в якості вимог до розміру капіталу та їх покриття.</w:t>
      </w:r>
    </w:p>
    <w:p w:rsidR="00C778A9" w:rsidRPr="00C778A9" w:rsidRDefault="00C778A9" w:rsidP="00C778A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NewRomanPS-ItalicMT" w:hAnsi="Times New Roman"/>
          <w:sz w:val="28"/>
          <w:szCs w:val="28"/>
        </w:rPr>
      </w:pPr>
      <w:r w:rsidRPr="00C778A9">
        <w:rPr>
          <w:rFonts w:ascii="Times New Roman" w:eastAsia="TimesNewRomanPS-ItalicMT" w:hAnsi="Times New Roman"/>
          <w:sz w:val="28"/>
          <w:szCs w:val="28"/>
        </w:rPr>
        <w:t>Серед великої кількості варіантів реалізації передового підходу для оцінки операційних ризиків банк</w:t>
      </w:r>
      <w:r w:rsidR="008535D8">
        <w:rPr>
          <w:rFonts w:ascii="Times New Roman" w:eastAsia="TimesNewRomanPS-ItalicMT" w:hAnsi="Times New Roman"/>
          <w:sz w:val="28"/>
          <w:szCs w:val="28"/>
        </w:rPr>
        <w:t>у</w:t>
      </w:r>
      <w:r w:rsidRPr="00C778A9">
        <w:rPr>
          <w:rFonts w:ascii="Times New Roman" w:eastAsia="TimesNewRomanPS-ItalicMT" w:hAnsi="Times New Roman"/>
          <w:sz w:val="28"/>
          <w:szCs w:val="28"/>
        </w:rPr>
        <w:t xml:space="preserve"> необхідно відзначити наступні:</w:t>
      </w:r>
    </w:p>
    <w:p w:rsidR="00C778A9" w:rsidRPr="00C778A9" w:rsidRDefault="00C778A9" w:rsidP="00C778A9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NewRomanPS-ItalicMT" w:hAnsi="Times New Roman"/>
          <w:sz w:val="28"/>
          <w:szCs w:val="28"/>
        </w:rPr>
      </w:pPr>
      <w:r w:rsidRPr="00C778A9">
        <w:rPr>
          <w:rFonts w:ascii="Times New Roman" w:eastAsia="TimesNewRomanPS-ItalicMT" w:hAnsi="Times New Roman"/>
          <w:sz w:val="28"/>
          <w:szCs w:val="28"/>
        </w:rPr>
        <w:t xml:space="preserve">підхід на основі внутрішнього оцінювання (IMA,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Internal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 xml:space="preserve">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Measurement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 xml:space="preserve">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Approach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>);</w:t>
      </w:r>
    </w:p>
    <w:p w:rsidR="00C778A9" w:rsidRPr="00C778A9" w:rsidRDefault="00C778A9" w:rsidP="00C778A9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NewRomanPS-ItalicMT" w:hAnsi="Times New Roman"/>
          <w:sz w:val="28"/>
          <w:szCs w:val="28"/>
        </w:rPr>
      </w:pPr>
      <w:r w:rsidRPr="00C778A9">
        <w:rPr>
          <w:rFonts w:ascii="Times New Roman" w:eastAsia="TimesNewRomanPS-ItalicMT" w:hAnsi="Times New Roman"/>
          <w:sz w:val="28"/>
          <w:szCs w:val="28"/>
        </w:rPr>
        <w:t xml:space="preserve">підхід на основі розподілу ймовірностей збитків (LDA,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Loss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 xml:space="preserve">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Distribution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 xml:space="preserve">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Approach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>);</w:t>
      </w:r>
    </w:p>
    <w:p w:rsidR="00C778A9" w:rsidRPr="00C778A9" w:rsidRDefault="00C778A9" w:rsidP="00C778A9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NewRomanPS-ItalicMT" w:hAnsi="Times New Roman"/>
          <w:sz w:val="28"/>
          <w:szCs w:val="28"/>
        </w:rPr>
      </w:pPr>
      <w:r w:rsidRPr="00C778A9">
        <w:rPr>
          <w:rFonts w:ascii="Times New Roman" w:eastAsia="TimesNewRomanPS-ItalicMT" w:hAnsi="Times New Roman"/>
          <w:sz w:val="28"/>
          <w:szCs w:val="28"/>
        </w:rPr>
        <w:t xml:space="preserve">підхід на основі «оціночних карток» або оціночної панелі (SCA,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Scorecard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 xml:space="preserve"> </w:t>
      </w:r>
      <w:proofErr w:type="spellStart"/>
      <w:r w:rsidRPr="00C778A9">
        <w:rPr>
          <w:rFonts w:ascii="Times New Roman" w:eastAsia="TimesNewRomanPS-ItalicMT" w:hAnsi="Times New Roman"/>
          <w:sz w:val="28"/>
          <w:szCs w:val="28"/>
        </w:rPr>
        <w:t>Approach</w:t>
      </w:r>
      <w:proofErr w:type="spellEnd"/>
      <w:r w:rsidRPr="00C778A9">
        <w:rPr>
          <w:rFonts w:ascii="Times New Roman" w:eastAsia="TimesNewRomanPS-ItalicMT" w:hAnsi="Times New Roman"/>
          <w:sz w:val="28"/>
          <w:szCs w:val="28"/>
        </w:rPr>
        <w:t>).</w:t>
      </w:r>
    </w:p>
    <w:p w:rsidR="00C778A9" w:rsidRPr="008E1803" w:rsidRDefault="00C778A9" w:rsidP="00C778A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803">
        <w:rPr>
          <w:rFonts w:ascii="Times New Roman" w:hAnsi="Times New Roman"/>
          <w:sz w:val="28"/>
          <w:szCs w:val="28"/>
        </w:rPr>
        <w:t>Важливим аспектом впровадження передових підходів є наявність внутрішньої і зовнішньої бази даних по операційни</w:t>
      </w:r>
      <w:r w:rsidR="00D13621">
        <w:rPr>
          <w:rFonts w:ascii="Times New Roman" w:hAnsi="Times New Roman"/>
          <w:sz w:val="28"/>
          <w:szCs w:val="28"/>
        </w:rPr>
        <w:t>х</w:t>
      </w:r>
      <w:r w:rsidRPr="008E1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втрата</w:t>
      </w:r>
      <w:r w:rsidR="00D13621">
        <w:rPr>
          <w:rFonts w:ascii="Times New Roman" w:hAnsi="Times New Roman"/>
          <w:sz w:val="28"/>
          <w:szCs w:val="28"/>
        </w:rPr>
        <w:t>х</w:t>
      </w:r>
      <w:r w:rsidRPr="008E1803">
        <w:rPr>
          <w:rFonts w:ascii="Times New Roman" w:hAnsi="Times New Roman"/>
          <w:sz w:val="28"/>
          <w:szCs w:val="28"/>
        </w:rPr>
        <w:t xml:space="preserve">, що є суттєвою перешкодою для реалізації підходу в українському банківському секторі, </w:t>
      </w:r>
      <w:r w:rsidR="00D13621">
        <w:rPr>
          <w:rFonts w:ascii="Times New Roman" w:hAnsi="Times New Roman"/>
          <w:sz w:val="28"/>
          <w:szCs w:val="28"/>
        </w:rPr>
        <w:t>оскільки</w:t>
      </w:r>
      <w:r w:rsidRPr="008E1803">
        <w:rPr>
          <w:rFonts w:ascii="Times New Roman" w:hAnsi="Times New Roman"/>
          <w:sz w:val="28"/>
          <w:szCs w:val="28"/>
        </w:rPr>
        <w:t xml:space="preserve"> більшість </w:t>
      </w:r>
      <w:r w:rsidR="00D13621">
        <w:rPr>
          <w:rFonts w:ascii="Times New Roman" w:hAnsi="Times New Roman"/>
          <w:sz w:val="28"/>
          <w:szCs w:val="28"/>
        </w:rPr>
        <w:t>банків</w:t>
      </w:r>
      <w:r w:rsidRPr="008E1803">
        <w:rPr>
          <w:rFonts w:ascii="Times New Roman" w:hAnsi="Times New Roman"/>
          <w:sz w:val="28"/>
          <w:szCs w:val="28"/>
        </w:rPr>
        <w:t xml:space="preserve"> не має внутрішньої статистики по операційни</w:t>
      </w:r>
      <w:r w:rsidR="00D13621">
        <w:rPr>
          <w:rFonts w:ascii="Times New Roman" w:hAnsi="Times New Roman"/>
          <w:sz w:val="28"/>
          <w:szCs w:val="28"/>
        </w:rPr>
        <w:t>х</w:t>
      </w:r>
      <w:r w:rsidRPr="008E18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втрата</w:t>
      </w:r>
      <w:r w:rsidR="00D13621">
        <w:rPr>
          <w:rFonts w:ascii="Times New Roman" w:hAnsi="Times New Roman"/>
          <w:sz w:val="28"/>
          <w:szCs w:val="28"/>
        </w:rPr>
        <w:t>х</w:t>
      </w:r>
      <w:r w:rsidRPr="008E1803">
        <w:rPr>
          <w:rFonts w:ascii="Times New Roman" w:hAnsi="Times New Roman"/>
          <w:sz w:val="28"/>
          <w:szCs w:val="28"/>
        </w:rPr>
        <w:t xml:space="preserve">. Особливо гостро це питання стоїть в невеликих </w:t>
      </w:r>
      <w:r w:rsidR="00D13621">
        <w:rPr>
          <w:rFonts w:ascii="Times New Roman" w:hAnsi="Times New Roman"/>
          <w:sz w:val="28"/>
          <w:szCs w:val="28"/>
        </w:rPr>
        <w:t>банк</w:t>
      </w:r>
      <w:r w:rsidR="008535D8">
        <w:rPr>
          <w:rFonts w:ascii="Times New Roman" w:hAnsi="Times New Roman"/>
          <w:sz w:val="28"/>
          <w:szCs w:val="28"/>
        </w:rPr>
        <w:t>ах</w:t>
      </w:r>
      <w:r w:rsidRPr="008E1803">
        <w:rPr>
          <w:rFonts w:ascii="Times New Roman" w:hAnsi="Times New Roman"/>
          <w:sz w:val="28"/>
          <w:szCs w:val="28"/>
        </w:rPr>
        <w:t xml:space="preserve">, де рівень розвитку систем ризик-менеджменту не дозволяє здійснювати заходи щодо формування баз даних і використання передових підходів до оцінки в зв'язку </w:t>
      </w:r>
      <w:r w:rsidRPr="008E1803">
        <w:rPr>
          <w:rFonts w:ascii="Times New Roman" w:hAnsi="Times New Roman"/>
          <w:sz w:val="28"/>
          <w:szCs w:val="28"/>
        </w:rPr>
        <w:lastRenderedPageBreak/>
        <w:t>з відсутністю кадрових, технологічних ресурсів, а також з причини відсутності корпоративної культури управління операційним ризиком.</w:t>
      </w:r>
    </w:p>
    <w:p w:rsidR="00D13621" w:rsidRPr="008E1803" w:rsidRDefault="00D13621" w:rsidP="00D13621">
      <w:pPr>
        <w:tabs>
          <w:tab w:val="left" w:pos="56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13621">
        <w:rPr>
          <w:rFonts w:ascii="Times New Roman" w:hAnsi="Times New Roman"/>
          <w:sz w:val="28"/>
          <w:szCs w:val="28"/>
        </w:rPr>
        <w:t xml:space="preserve">Аналіз банківських практик в економічно розвинених країнах показав, що кращим є підхід до оцінки операційного ризику на основі розподілу ймовірностей збитків (LDA, </w:t>
      </w:r>
      <w:proofErr w:type="spellStart"/>
      <w:r w:rsidRPr="00D13621">
        <w:rPr>
          <w:rFonts w:ascii="Times New Roman" w:hAnsi="Times New Roman"/>
          <w:sz w:val="28"/>
          <w:szCs w:val="28"/>
        </w:rPr>
        <w:t>Loss</w:t>
      </w:r>
      <w:proofErr w:type="spellEnd"/>
      <w:r w:rsidRPr="00D13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3621">
        <w:rPr>
          <w:rFonts w:ascii="Times New Roman" w:hAnsi="Times New Roman"/>
          <w:sz w:val="28"/>
          <w:szCs w:val="28"/>
        </w:rPr>
        <w:t>Distribution</w:t>
      </w:r>
      <w:proofErr w:type="spellEnd"/>
      <w:r w:rsidRPr="00D13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3621">
        <w:rPr>
          <w:rFonts w:ascii="Times New Roman" w:hAnsi="Times New Roman"/>
          <w:sz w:val="28"/>
          <w:szCs w:val="28"/>
        </w:rPr>
        <w:t>Approach</w:t>
      </w:r>
      <w:proofErr w:type="spellEnd"/>
      <w:r w:rsidRPr="00D13621">
        <w:rPr>
          <w:rFonts w:ascii="Times New Roman" w:hAnsi="Times New Roman"/>
          <w:sz w:val="28"/>
          <w:szCs w:val="28"/>
        </w:rPr>
        <w:t>). На поточний момент даний підхід є найбільш поширеним серед банків, що використовують передові підходи до оцінки операційного ризику.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1803">
        <w:rPr>
          <w:rFonts w:ascii="Times New Roman" w:hAnsi="Times New Roman"/>
          <w:sz w:val="28"/>
          <w:szCs w:val="28"/>
        </w:rPr>
        <w:t>Даний підхід досить широко описаний в сучасній літе</w:t>
      </w:r>
      <w:r>
        <w:rPr>
          <w:rFonts w:ascii="Times New Roman" w:hAnsi="Times New Roman"/>
          <w:sz w:val="28"/>
          <w:szCs w:val="28"/>
        </w:rPr>
        <w:t>ратурі з операційних ризиків. Варто зауважити, що</w:t>
      </w:r>
      <w:r w:rsidRPr="008E1803">
        <w:rPr>
          <w:rFonts w:ascii="Times New Roman" w:hAnsi="Times New Roman"/>
          <w:sz w:val="28"/>
          <w:szCs w:val="28"/>
        </w:rPr>
        <w:t xml:space="preserve"> існує </w:t>
      </w:r>
      <w:r>
        <w:rPr>
          <w:rFonts w:ascii="Times New Roman" w:hAnsi="Times New Roman"/>
          <w:sz w:val="28"/>
          <w:szCs w:val="28"/>
        </w:rPr>
        <w:t>де</w:t>
      </w:r>
      <w:r w:rsidRPr="008E1803">
        <w:rPr>
          <w:rFonts w:ascii="Times New Roman" w:hAnsi="Times New Roman"/>
          <w:sz w:val="28"/>
          <w:szCs w:val="28"/>
        </w:rPr>
        <w:t>кілька модифікацій даного підходу в залежності від так званих одиниць сегментації, а також від вибору вхідних даних, підход</w:t>
      </w:r>
      <w:r>
        <w:rPr>
          <w:rFonts w:ascii="Times New Roman" w:hAnsi="Times New Roman"/>
          <w:sz w:val="28"/>
          <w:szCs w:val="28"/>
        </w:rPr>
        <w:t>ів</w:t>
      </w:r>
      <w:r w:rsidRPr="008E1803">
        <w:rPr>
          <w:rFonts w:ascii="Times New Roman" w:hAnsi="Times New Roman"/>
          <w:sz w:val="28"/>
          <w:szCs w:val="28"/>
        </w:rPr>
        <w:t xml:space="preserve"> до оцінки кореляцій і вибору чисельних і аналітичних методів реалізації. Капітал під ризиком в рамках даного підходу визначається як </w:t>
      </w:r>
      <w:proofErr w:type="spellStart"/>
      <w:r w:rsidRPr="008E1803">
        <w:rPr>
          <w:rFonts w:ascii="Times New Roman" w:hAnsi="Times New Roman"/>
          <w:sz w:val="28"/>
          <w:szCs w:val="28"/>
        </w:rPr>
        <w:t>квантиль</w:t>
      </w:r>
      <w:proofErr w:type="spellEnd"/>
      <w:r w:rsidRPr="008E1803">
        <w:rPr>
          <w:rFonts w:ascii="Times New Roman" w:hAnsi="Times New Roman"/>
          <w:sz w:val="28"/>
          <w:szCs w:val="28"/>
        </w:rPr>
        <w:t xml:space="preserve"> функції розподілу сумарних втрат від операційного ризику. </w:t>
      </w:r>
    </w:p>
    <w:p w:rsidR="000A2E51" w:rsidRPr="000A2E51" w:rsidRDefault="000A2E51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51">
        <w:rPr>
          <w:rFonts w:ascii="Times New Roman" w:hAnsi="Times New Roman" w:cs="Times New Roman"/>
          <w:sz w:val="28"/>
          <w:szCs w:val="28"/>
        </w:rPr>
        <w:t xml:space="preserve">Оцінка </w:t>
      </w:r>
      <w:r w:rsidR="0003258C">
        <w:rPr>
          <w:rFonts w:ascii="Times New Roman" w:hAnsi="Times New Roman" w:cs="Times New Roman"/>
          <w:sz w:val="28"/>
          <w:szCs w:val="28"/>
        </w:rPr>
        <w:t xml:space="preserve">економічного </w:t>
      </w:r>
      <w:r w:rsidRPr="000A2E51">
        <w:rPr>
          <w:rFonts w:ascii="Times New Roman" w:hAnsi="Times New Roman" w:cs="Times New Roman"/>
          <w:sz w:val="28"/>
          <w:szCs w:val="28"/>
        </w:rPr>
        <w:t xml:space="preserve">капіталу під операційний ризик на підставі </w:t>
      </w:r>
      <w:r w:rsidR="0024596E">
        <w:rPr>
          <w:rFonts w:ascii="Times New Roman" w:hAnsi="Times New Roman" w:cs="Times New Roman"/>
          <w:sz w:val="28"/>
          <w:szCs w:val="28"/>
        </w:rPr>
        <w:t>запропоновано</w:t>
      </w:r>
      <w:r w:rsidR="005B07A8">
        <w:rPr>
          <w:rFonts w:ascii="Times New Roman" w:hAnsi="Times New Roman" w:cs="Times New Roman"/>
          <w:sz w:val="28"/>
          <w:szCs w:val="28"/>
        </w:rPr>
        <w:t>го підходу</w:t>
      </w:r>
      <w:r w:rsidR="0024596E">
        <w:rPr>
          <w:rFonts w:ascii="Times New Roman" w:hAnsi="Times New Roman" w:cs="Times New Roman"/>
          <w:sz w:val="28"/>
          <w:szCs w:val="28"/>
        </w:rPr>
        <w:t xml:space="preserve"> прове</w:t>
      </w:r>
      <w:r w:rsidRPr="000A2E51">
        <w:rPr>
          <w:rFonts w:ascii="Times New Roman" w:hAnsi="Times New Roman" w:cs="Times New Roman"/>
          <w:sz w:val="28"/>
          <w:szCs w:val="28"/>
        </w:rPr>
        <w:t>д</w:t>
      </w:r>
      <w:r w:rsidR="0024596E">
        <w:rPr>
          <w:rFonts w:ascii="Times New Roman" w:hAnsi="Times New Roman" w:cs="Times New Roman"/>
          <w:sz w:val="28"/>
          <w:szCs w:val="28"/>
        </w:rPr>
        <w:t>ена</w:t>
      </w:r>
      <w:r w:rsidRPr="000A2E51">
        <w:rPr>
          <w:rFonts w:ascii="Times New Roman" w:hAnsi="Times New Roman" w:cs="Times New Roman"/>
          <w:sz w:val="28"/>
          <w:szCs w:val="28"/>
        </w:rPr>
        <w:t xml:space="preserve"> на базі </w:t>
      </w:r>
      <w:r w:rsidR="00522FBC">
        <w:rPr>
          <w:rFonts w:ascii="Times New Roman" w:hAnsi="Times New Roman" w:cs="Times New Roman"/>
          <w:sz w:val="28"/>
          <w:szCs w:val="28"/>
        </w:rPr>
        <w:t>одного з українських банків</w:t>
      </w:r>
      <w:r w:rsidRPr="000A2E51">
        <w:rPr>
          <w:rFonts w:ascii="Times New Roman" w:hAnsi="Times New Roman" w:cs="Times New Roman"/>
          <w:sz w:val="28"/>
          <w:szCs w:val="28"/>
        </w:rPr>
        <w:t xml:space="preserve"> і в подальшому </w:t>
      </w:r>
      <w:proofErr w:type="spellStart"/>
      <w:r w:rsidR="0003258C">
        <w:rPr>
          <w:rFonts w:ascii="Times New Roman" w:hAnsi="Times New Roman" w:cs="Times New Roman"/>
          <w:sz w:val="28"/>
          <w:szCs w:val="28"/>
        </w:rPr>
        <w:t>алокується</w:t>
      </w:r>
      <w:proofErr w:type="spellEnd"/>
      <w:r w:rsidRPr="000A2E51">
        <w:rPr>
          <w:rFonts w:ascii="Times New Roman" w:hAnsi="Times New Roman" w:cs="Times New Roman"/>
          <w:sz w:val="28"/>
          <w:szCs w:val="28"/>
        </w:rPr>
        <w:t xml:space="preserve"> на </w:t>
      </w:r>
      <w:r w:rsidR="0098294E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0A2E51">
        <w:rPr>
          <w:rFonts w:ascii="Times New Roman" w:hAnsi="Times New Roman" w:cs="Times New Roman"/>
          <w:sz w:val="28"/>
          <w:szCs w:val="28"/>
        </w:rPr>
        <w:t>бізнес-одиниці.</w:t>
      </w:r>
      <w:r w:rsidR="00C722BA">
        <w:rPr>
          <w:rFonts w:ascii="Times New Roman" w:hAnsi="Times New Roman" w:cs="Times New Roman"/>
          <w:sz w:val="28"/>
          <w:szCs w:val="28"/>
        </w:rPr>
        <w:t xml:space="preserve"> Зауважимо, що</w:t>
      </w:r>
      <w:r w:rsidRPr="000A2E51">
        <w:rPr>
          <w:rFonts w:ascii="Times New Roman" w:hAnsi="Times New Roman" w:cs="Times New Roman"/>
          <w:sz w:val="28"/>
          <w:szCs w:val="28"/>
        </w:rPr>
        <w:t xml:space="preserve"> </w:t>
      </w:r>
      <w:r w:rsidR="00C722BA" w:rsidRPr="000A2E51">
        <w:rPr>
          <w:rFonts w:ascii="Times New Roman" w:hAnsi="Times New Roman" w:cs="Times New Roman"/>
          <w:sz w:val="28"/>
          <w:szCs w:val="28"/>
        </w:rPr>
        <w:t xml:space="preserve">під </w:t>
      </w:r>
      <w:r w:rsidRPr="000A2E51">
        <w:rPr>
          <w:rFonts w:ascii="Times New Roman" w:hAnsi="Times New Roman" w:cs="Times New Roman"/>
          <w:sz w:val="28"/>
          <w:szCs w:val="28"/>
        </w:rPr>
        <w:t>бізнес-одиницями розу</w:t>
      </w:r>
      <w:r w:rsidR="00C722BA">
        <w:rPr>
          <w:rFonts w:ascii="Times New Roman" w:hAnsi="Times New Roman" w:cs="Times New Roman"/>
          <w:sz w:val="28"/>
          <w:szCs w:val="28"/>
        </w:rPr>
        <w:t>міються структурні підрозділи (2 відділень</w:t>
      </w:r>
      <w:r w:rsidR="00522FBC">
        <w:rPr>
          <w:rFonts w:ascii="Times New Roman" w:hAnsi="Times New Roman" w:cs="Times New Roman"/>
          <w:sz w:val="28"/>
          <w:szCs w:val="28"/>
        </w:rPr>
        <w:t xml:space="preserve"> А і Б)</w:t>
      </w:r>
      <w:r w:rsidRPr="000A2E51">
        <w:rPr>
          <w:rFonts w:ascii="Times New Roman" w:hAnsi="Times New Roman" w:cs="Times New Roman"/>
          <w:sz w:val="28"/>
          <w:szCs w:val="28"/>
        </w:rPr>
        <w:t>.</w:t>
      </w:r>
    </w:p>
    <w:p w:rsidR="000A2E51" w:rsidRDefault="000A2E51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E51">
        <w:rPr>
          <w:rFonts w:ascii="Times New Roman" w:hAnsi="Times New Roman" w:cs="Times New Roman"/>
          <w:sz w:val="28"/>
          <w:szCs w:val="28"/>
        </w:rPr>
        <w:t>На підставі проведених розр</w:t>
      </w:r>
      <w:r w:rsidR="00C722BA">
        <w:rPr>
          <w:rFonts w:ascii="Times New Roman" w:hAnsi="Times New Roman" w:cs="Times New Roman"/>
          <w:sz w:val="28"/>
          <w:szCs w:val="28"/>
        </w:rPr>
        <w:t xml:space="preserve">ахунків порівнюються значення </w:t>
      </w:r>
      <w:proofErr w:type="spellStart"/>
      <w:r w:rsidR="00C722BA">
        <w:rPr>
          <w:rFonts w:ascii="Times New Roman" w:hAnsi="Times New Roman" w:cs="Times New Roman"/>
          <w:sz w:val="28"/>
          <w:szCs w:val="28"/>
        </w:rPr>
        <w:t>алокова</w:t>
      </w:r>
      <w:r w:rsidRPr="000A2E51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0A2E51">
        <w:rPr>
          <w:rFonts w:ascii="Times New Roman" w:hAnsi="Times New Roman" w:cs="Times New Roman"/>
          <w:sz w:val="28"/>
          <w:szCs w:val="28"/>
        </w:rPr>
        <w:t xml:space="preserve"> ризик-капіталу різними методам</w:t>
      </w:r>
      <w:r w:rsidR="00C722BA">
        <w:rPr>
          <w:rFonts w:ascii="Times New Roman" w:hAnsi="Times New Roman" w:cs="Times New Roman"/>
          <w:sz w:val="28"/>
          <w:szCs w:val="28"/>
        </w:rPr>
        <w:t>и і здійснюється вибір методу алокації</w:t>
      </w:r>
      <w:r w:rsidRPr="000A2E51">
        <w:rPr>
          <w:rFonts w:ascii="Times New Roman" w:hAnsi="Times New Roman" w:cs="Times New Roman"/>
          <w:sz w:val="28"/>
          <w:szCs w:val="28"/>
        </w:rPr>
        <w:t xml:space="preserve"> капіталу,</w:t>
      </w:r>
      <w:r w:rsidR="00D57FFE">
        <w:rPr>
          <w:rFonts w:ascii="Times New Roman" w:hAnsi="Times New Roman" w:cs="Times New Roman"/>
          <w:sz w:val="28"/>
          <w:szCs w:val="28"/>
        </w:rPr>
        <w:t xml:space="preserve"> який</w:t>
      </w:r>
      <w:r w:rsidRPr="000A2E51">
        <w:rPr>
          <w:rFonts w:ascii="Times New Roman" w:hAnsi="Times New Roman" w:cs="Times New Roman"/>
          <w:sz w:val="28"/>
          <w:szCs w:val="28"/>
        </w:rPr>
        <w:t xml:space="preserve"> найкращим чином відображає внесок кожної бізнес-одиниці в загальний ризик банку.</w:t>
      </w:r>
    </w:p>
    <w:p w:rsidR="00270A32" w:rsidRPr="00270A32" w:rsidRDefault="00270A3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розрахунку і алокації економічного</w:t>
      </w:r>
      <w:r w:rsidRPr="00270A32">
        <w:rPr>
          <w:rFonts w:ascii="Times New Roman" w:hAnsi="Times New Roman" w:cs="Times New Roman"/>
          <w:sz w:val="28"/>
          <w:szCs w:val="28"/>
        </w:rPr>
        <w:t xml:space="preserve"> капіталу на покриття операційних </w:t>
      </w:r>
      <w:r>
        <w:rPr>
          <w:rFonts w:ascii="Times New Roman" w:hAnsi="Times New Roman" w:cs="Times New Roman"/>
          <w:sz w:val="28"/>
          <w:szCs w:val="28"/>
        </w:rPr>
        <w:t>втрат використ</w:t>
      </w:r>
      <w:r w:rsidR="0098294E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 дані по внутрішніх інцидентах</w:t>
      </w:r>
      <w:r w:rsidRPr="00270A32">
        <w:rPr>
          <w:rFonts w:ascii="Times New Roman" w:hAnsi="Times New Roman" w:cs="Times New Roman"/>
          <w:sz w:val="28"/>
          <w:szCs w:val="28"/>
        </w:rPr>
        <w:t xml:space="preserve"> операційного ризику в відділеннях (бізнес-одиницях) </w:t>
      </w:r>
      <w:r w:rsidR="00522FBC">
        <w:rPr>
          <w:rFonts w:ascii="Times New Roman" w:hAnsi="Times New Roman" w:cs="Times New Roman"/>
          <w:sz w:val="28"/>
          <w:szCs w:val="28"/>
        </w:rPr>
        <w:t xml:space="preserve">банку </w:t>
      </w:r>
      <w:r>
        <w:rPr>
          <w:rFonts w:ascii="Times New Roman" w:hAnsi="Times New Roman" w:cs="Times New Roman"/>
          <w:sz w:val="28"/>
          <w:szCs w:val="28"/>
        </w:rPr>
        <w:t>з сумою одиничної</w:t>
      </w:r>
      <w:r w:rsidRPr="00270A32">
        <w:rPr>
          <w:rFonts w:ascii="Times New Roman" w:hAnsi="Times New Roman" w:cs="Times New Roman"/>
          <w:sz w:val="28"/>
          <w:szCs w:val="28"/>
        </w:rPr>
        <w:t xml:space="preserve"> шкоди понад 100 тис</w:t>
      </w:r>
      <w:r>
        <w:rPr>
          <w:rFonts w:ascii="Times New Roman" w:hAnsi="Times New Roman" w:cs="Times New Roman"/>
          <w:sz w:val="28"/>
          <w:szCs w:val="28"/>
        </w:rPr>
        <w:t xml:space="preserve"> грн</w:t>
      </w:r>
      <w:r w:rsidRPr="00270A32">
        <w:rPr>
          <w:rFonts w:ascii="Times New Roman" w:hAnsi="Times New Roman" w:cs="Times New Roman"/>
          <w:sz w:val="28"/>
          <w:szCs w:val="28"/>
        </w:rPr>
        <w:t>. Період збору даних склав</w:t>
      </w:r>
      <w:r>
        <w:rPr>
          <w:rFonts w:ascii="Times New Roman" w:hAnsi="Times New Roman" w:cs="Times New Roman"/>
          <w:sz w:val="28"/>
          <w:szCs w:val="28"/>
        </w:rPr>
        <w:t xml:space="preserve"> 3 роки: з 2013 по 2015</w:t>
      </w:r>
      <w:r w:rsidRPr="00270A32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270A32" w:rsidRPr="00270A32" w:rsidRDefault="00B65B8C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розглянутий період в діяльності</w:t>
      </w:r>
      <w:r w:rsidR="00270A32" w:rsidRPr="00270A32">
        <w:rPr>
          <w:rFonts w:ascii="Times New Roman" w:hAnsi="Times New Roman" w:cs="Times New Roman"/>
          <w:sz w:val="28"/>
          <w:szCs w:val="28"/>
        </w:rPr>
        <w:t xml:space="preserve"> зазначених бізнес-одиниць </w:t>
      </w:r>
      <w:r w:rsidR="00270A32">
        <w:rPr>
          <w:rFonts w:ascii="Times New Roman" w:hAnsi="Times New Roman" w:cs="Times New Roman"/>
          <w:sz w:val="28"/>
          <w:szCs w:val="28"/>
        </w:rPr>
        <w:t xml:space="preserve">були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270A32">
        <w:rPr>
          <w:rFonts w:ascii="Times New Roman" w:hAnsi="Times New Roman" w:cs="Times New Roman"/>
          <w:sz w:val="28"/>
          <w:szCs w:val="28"/>
        </w:rPr>
        <w:t>мічені</w:t>
      </w:r>
      <w:r w:rsidR="0024596E">
        <w:rPr>
          <w:rFonts w:ascii="Times New Roman" w:hAnsi="Times New Roman" w:cs="Times New Roman"/>
          <w:sz w:val="28"/>
          <w:szCs w:val="28"/>
        </w:rPr>
        <w:t xml:space="preserve"> події</w:t>
      </w:r>
      <w:r w:rsidR="00270A32" w:rsidRPr="00270A32">
        <w:rPr>
          <w:rFonts w:ascii="Times New Roman" w:hAnsi="Times New Roman" w:cs="Times New Roman"/>
          <w:sz w:val="28"/>
          <w:szCs w:val="28"/>
        </w:rPr>
        <w:t xml:space="preserve"> операційного ризику наступних типів:</w:t>
      </w:r>
    </w:p>
    <w:p w:rsidR="00270A32" w:rsidRPr="00270A32" w:rsidRDefault="00270A3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A32">
        <w:rPr>
          <w:rFonts w:ascii="Times New Roman" w:hAnsi="Times New Roman" w:cs="Times New Roman"/>
          <w:sz w:val="28"/>
          <w:szCs w:val="28"/>
        </w:rPr>
        <w:t>1. Помилки в управлінні процесами і звітності.</w:t>
      </w:r>
    </w:p>
    <w:p w:rsidR="00270A32" w:rsidRPr="00270A32" w:rsidRDefault="00270A3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A32">
        <w:rPr>
          <w:rFonts w:ascii="Times New Roman" w:hAnsi="Times New Roman" w:cs="Times New Roman"/>
          <w:sz w:val="28"/>
          <w:szCs w:val="28"/>
        </w:rPr>
        <w:t xml:space="preserve">2. </w:t>
      </w:r>
      <w:r w:rsidR="00B65B8C" w:rsidRPr="00B65B8C">
        <w:rPr>
          <w:rFonts w:ascii="Times New Roman" w:hAnsi="Times New Roman" w:cs="Times New Roman"/>
          <w:sz w:val="28"/>
          <w:szCs w:val="28"/>
        </w:rPr>
        <w:t>Порушення безперервності функціонування і збої (відмови) систем</w:t>
      </w:r>
      <w:r w:rsidRPr="00270A32">
        <w:rPr>
          <w:rFonts w:ascii="Times New Roman" w:hAnsi="Times New Roman" w:cs="Times New Roman"/>
          <w:sz w:val="28"/>
          <w:szCs w:val="28"/>
        </w:rPr>
        <w:t>.</w:t>
      </w:r>
    </w:p>
    <w:p w:rsidR="00270A32" w:rsidRPr="00270A32" w:rsidRDefault="00270A3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A32">
        <w:rPr>
          <w:rFonts w:ascii="Times New Roman" w:hAnsi="Times New Roman" w:cs="Times New Roman"/>
          <w:sz w:val="28"/>
          <w:szCs w:val="28"/>
        </w:rPr>
        <w:t>3. Внутрішнє шахрайство.</w:t>
      </w:r>
    </w:p>
    <w:p w:rsidR="00270A32" w:rsidRPr="00270A32" w:rsidRDefault="00270A3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A32">
        <w:rPr>
          <w:rFonts w:ascii="Times New Roman" w:hAnsi="Times New Roman" w:cs="Times New Roman"/>
          <w:sz w:val="28"/>
          <w:szCs w:val="28"/>
        </w:rPr>
        <w:lastRenderedPageBreak/>
        <w:t>4. Зовнішнє шахрайство.</w:t>
      </w:r>
    </w:p>
    <w:p w:rsidR="00270A32" w:rsidRPr="00270A32" w:rsidRDefault="00270A3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A32">
        <w:rPr>
          <w:rFonts w:ascii="Times New Roman" w:hAnsi="Times New Roman" w:cs="Times New Roman"/>
          <w:sz w:val="28"/>
          <w:szCs w:val="28"/>
        </w:rPr>
        <w:t xml:space="preserve">5. </w:t>
      </w:r>
      <w:r w:rsidR="00B65B8C" w:rsidRPr="00B65B8C">
        <w:rPr>
          <w:rFonts w:ascii="Times New Roman" w:hAnsi="Times New Roman" w:cs="Times New Roman"/>
          <w:sz w:val="28"/>
          <w:szCs w:val="28"/>
        </w:rPr>
        <w:t>Заподіяння шкоди матеріальним активам</w:t>
      </w:r>
      <w:r w:rsidRPr="00270A32">
        <w:rPr>
          <w:rFonts w:ascii="Times New Roman" w:hAnsi="Times New Roman" w:cs="Times New Roman"/>
          <w:sz w:val="28"/>
          <w:szCs w:val="28"/>
        </w:rPr>
        <w:t>.</w:t>
      </w:r>
    </w:p>
    <w:p w:rsidR="00270A32" w:rsidRDefault="00270A3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A32">
        <w:rPr>
          <w:rFonts w:ascii="Times New Roman" w:hAnsi="Times New Roman" w:cs="Times New Roman"/>
          <w:sz w:val="28"/>
          <w:szCs w:val="28"/>
        </w:rPr>
        <w:t>Дані типи подій були ро</w:t>
      </w:r>
      <w:r w:rsidR="00A05ED0">
        <w:rPr>
          <w:rFonts w:ascii="Times New Roman" w:hAnsi="Times New Roman" w:cs="Times New Roman"/>
          <w:sz w:val="28"/>
          <w:szCs w:val="28"/>
        </w:rPr>
        <w:t>зділені відповідно до підходів</w:t>
      </w:r>
      <w:r w:rsidRPr="00270A32">
        <w:rPr>
          <w:rFonts w:ascii="Times New Roman" w:hAnsi="Times New Roman" w:cs="Times New Roman"/>
          <w:sz w:val="28"/>
          <w:szCs w:val="28"/>
        </w:rPr>
        <w:t>, на три типи ри</w:t>
      </w:r>
      <w:r w:rsidR="00522FBC">
        <w:rPr>
          <w:rFonts w:ascii="Times New Roman" w:hAnsi="Times New Roman" w:cs="Times New Roman"/>
          <w:sz w:val="28"/>
          <w:szCs w:val="28"/>
        </w:rPr>
        <w:t>зику (три «осередки»)</w:t>
      </w:r>
      <w:r w:rsidR="0024596E">
        <w:rPr>
          <w:rFonts w:ascii="Times New Roman" w:hAnsi="Times New Roman" w:cs="Times New Roman"/>
          <w:sz w:val="28"/>
          <w:szCs w:val="28"/>
        </w:rPr>
        <w:t>,</w:t>
      </w:r>
      <w:r w:rsidR="00522FBC">
        <w:rPr>
          <w:rFonts w:ascii="Times New Roman" w:hAnsi="Times New Roman" w:cs="Times New Roman"/>
          <w:sz w:val="28"/>
          <w:szCs w:val="28"/>
        </w:rPr>
        <w:t xml:space="preserve"> </w:t>
      </w:r>
      <w:r w:rsidR="0024596E">
        <w:rPr>
          <w:rFonts w:ascii="Times New Roman" w:hAnsi="Times New Roman" w:cs="Times New Roman"/>
          <w:sz w:val="28"/>
          <w:szCs w:val="28"/>
        </w:rPr>
        <w:t xml:space="preserve">див. табл. </w:t>
      </w:r>
      <w:r w:rsidRPr="00270A32">
        <w:rPr>
          <w:rFonts w:ascii="Times New Roman" w:hAnsi="Times New Roman" w:cs="Times New Roman"/>
          <w:sz w:val="28"/>
          <w:szCs w:val="28"/>
        </w:rPr>
        <w:t>1.</w:t>
      </w:r>
    </w:p>
    <w:p w:rsidR="00C03A5A" w:rsidRDefault="00522FBC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98294E">
        <w:rPr>
          <w:rFonts w:ascii="Times New Roman" w:hAnsi="Times New Roman" w:cs="Times New Roman"/>
          <w:sz w:val="28"/>
          <w:szCs w:val="28"/>
        </w:rPr>
        <w:t>1</w:t>
      </w:r>
    </w:p>
    <w:p w:rsidR="00343210" w:rsidRDefault="00343210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3210">
        <w:rPr>
          <w:rFonts w:ascii="Times New Roman" w:hAnsi="Times New Roman" w:cs="Times New Roman"/>
          <w:sz w:val="28"/>
          <w:szCs w:val="28"/>
        </w:rPr>
        <w:t>Класифікація типів подій операційного ризику за типами ризику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2726"/>
        <w:gridCol w:w="1883"/>
      </w:tblGrid>
      <w:tr w:rsidR="00343210" w:rsidRPr="0098294E" w:rsidTr="0098294E">
        <w:trPr>
          <w:jc w:val="center"/>
        </w:trPr>
        <w:tc>
          <w:tcPr>
            <w:tcW w:w="2592" w:type="pct"/>
            <w:shd w:val="clear" w:color="auto" w:fill="auto"/>
            <w:vAlign w:val="center"/>
            <w:hideMark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b/>
                <w:sz w:val="24"/>
                <w:szCs w:val="24"/>
              </w:rPr>
              <w:t>Тип подій операційного ризику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b/>
                <w:sz w:val="24"/>
                <w:szCs w:val="24"/>
              </w:rPr>
              <w:t>Тип ризику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b/>
                <w:sz w:val="24"/>
                <w:szCs w:val="24"/>
              </w:rPr>
              <w:t>Позначення</w:t>
            </w:r>
          </w:p>
        </w:tc>
      </w:tr>
      <w:tr w:rsidR="00343210" w:rsidRPr="0098294E" w:rsidTr="0098294E">
        <w:trPr>
          <w:jc w:val="center"/>
        </w:trPr>
        <w:tc>
          <w:tcPr>
            <w:tcW w:w="2592" w:type="pct"/>
            <w:shd w:val="clear" w:color="auto" w:fill="auto"/>
            <w:vAlign w:val="center"/>
            <w:hideMark/>
          </w:tcPr>
          <w:p w:rsidR="00343210" w:rsidRPr="0098294E" w:rsidRDefault="00343210" w:rsidP="002C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Помилки в управлінні процесами і звітності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Процеси і звітність (кількість операцій)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3210" w:rsidRPr="0098294E" w:rsidTr="0098294E">
        <w:trPr>
          <w:jc w:val="center"/>
        </w:trPr>
        <w:tc>
          <w:tcPr>
            <w:tcW w:w="2592" w:type="pct"/>
            <w:shd w:val="clear" w:color="auto" w:fill="auto"/>
            <w:vAlign w:val="center"/>
          </w:tcPr>
          <w:p w:rsidR="00343210" w:rsidRPr="0098294E" w:rsidRDefault="001C59AF" w:rsidP="002C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Порушення безперервності функціонування і збої (відмови) систем.</w:t>
            </w:r>
          </w:p>
        </w:tc>
        <w:tc>
          <w:tcPr>
            <w:tcW w:w="1424" w:type="pct"/>
            <w:shd w:val="clear" w:color="auto" w:fill="auto"/>
            <w:vAlign w:val="center"/>
          </w:tcPr>
          <w:p w:rsidR="00343210" w:rsidRPr="0098294E" w:rsidRDefault="00C03A5A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Порушення і збої систем (кількість</w:t>
            </w:r>
            <w:r w:rsidR="00343210" w:rsidRPr="009829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43210" w:rsidRPr="0098294E" w:rsidTr="0098294E">
        <w:trPr>
          <w:jc w:val="center"/>
        </w:trPr>
        <w:tc>
          <w:tcPr>
            <w:tcW w:w="2592" w:type="pc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Внутрішнє шахрайство</w:t>
            </w:r>
          </w:p>
        </w:tc>
        <w:tc>
          <w:tcPr>
            <w:tcW w:w="1424" w:type="pct"/>
            <w:vMerge w:val="restar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Шахрайство (чисельність)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3210" w:rsidRPr="0098294E" w:rsidTr="0098294E">
        <w:trPr>
          <w:jc w:val="center"/>
        </w:trPr>
        <w:tc>
          <w:tcPr>
            <w:tcW w:w="2592" w:type="pct"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Зовнішнє шахрайство</w:t>
            </w:r>
          </w:p>
        </w:tc>
        <w:tc>
          <w:tcPr>
            <w:tcW w:w="1424" w:type="pct"/>
            <w:vMerge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210" w:rsidRPr="0098294E" w:rsidTr="0098294E">
        <w:trPr>
          <w:jc w:val="center"/>
        </w:trPr>
        <w:tc>
          <w:tcPr>
            <w:tcW w:w="2592" w:type="pct"/>
            <w:shd w:val="clear" w:color="auto" w:fill="auto"/>
            <w:vAlign w:val="center"/>
          </w:tcPr>
          <w:p w:rsidR="00343210" w:rsidRPr="0098294E" w:rsidRDefault="001C59AF" w:rsidP="002C4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sz w:val="24"/>
                <w:szCs w:val="24"/>
              </w:rPr>
              <w:t>Заподіяння шкоди матеріальним активам.</w:t>
            </w:r>
          </w:p>
        </w:tc>
        <w:tc>
          <w:tcPr>
            <w:tcW w:w="1424" w:type="pct"/>
            <w:vMerge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343210" w:rsidRPr="0098294E" w:rsidRDefault="00343210" w:rsidP="002C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210" w:rsidRDefault="00343210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935" w:rsidRDefault="00E50935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35">
        <w:rPr>
          <w:rFonts w:ascii="Times New Roman" w:hAnsi="Times New Roman" w:cs="Times New Roman"/>
          <w:sz w:val="28"/>
          <w:szCs w:val="28"/>
        </w:rPr>
        <w:t>Обсяги матеріальних збитків від даних типів подій операційного ризику за вказаний період в розрізі бізнес-один</w:t>
      </w:r>
      <w:r>
        <w:rPr>
          <w:rFonts w:ascii="Times New Roman" w:hAnsi="Times New Roman" w:cs="Times New Roman"/>
          <w:sz w:val="28"/>
          <w:szCs w:val="28"/>
        </w:rPr>
        <w:t>иць і типів ризику представлені</w:t>
      </w:r>
      <w:r w:rsidRPr="00E50935">
        <w:rPr>
          <w:rFonts w:ascii="Times New Roman" w:hAnsi="Times New Roman" w:cs="Times New Roman"/>
          <w:sz w:val="28"/>
          <w:szCs w:val="28"/>
        </w:rPr>
        <w:t xml:space="preserve"> в наступних таблицях:</w:t>
      </w:r>
    </w:p>
    <w:p w:rsidR="00E50935" w:rsidRPr="00E50935" w:rsidRDefault="00E50935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35">
        <w:rPr>
          <w:rFonts w:ascii="Times New Roman" w:hAnsi="Times New Roman" w:cs="Times New Roman"/>
          <w:sz w:val="28"/>
          <w:szCs w:val="28"/>
        </w:rPr>
        <w:t xml:space="preserve">1. </w:t>
      </w:r>
      <w:r w:rsidR="00C40F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ідділення </w:t>
      </w:r>
      <w:r w:rsidR="00C40FBC">
        <w:rPr>
          <w:rFonts w:ascii="Times New Roman" w:hAnsi="Times New Roman" w:cs="Times New Roman"/>
          <w:sz w:val="28"/>
          <w:szCs w:val="28"/>
        </w:rPr>
        <w:t>А</w:t>
      </w:r>
      <w:r w:rsidR="00522FBC">
        <w:rPr>
          <w:rFonts w:ascii="Times New Roman" w:hAnsi="Times New Roman" w:cs="Times New Roman"/>
          <w:sz w:val="28"/>
          <w:szCs w:val="28"/>
        </w:rPr>
        <w:t xml:space="preserve"> - Таблиця </w:t>
      </w:r>
      <w:r w:rsidRPr="00E50935">
        <w:rPr>
          <w:rFonts w:ascii="Times New Roman" w:hAnsi="Times New Roman" w:cs="Times New Roman"/>
          <w:sz w:val="28"/>
          <w:szCs w:val="28"/>
        </w:rPr>
        <w:t>2</w:t>
      </w:r>
      <w:r w:rsidR="00912F8C" w:rsidRPr="00375F61">
        <w:rPr>
          <w:rFonts w:ascii="Times New Roman" w:hAnsi="Times New Roman" w:cs="Times New Roman"/>
          <w:sz w:val="28"/>
          <w:szCs w:val="28"/>
        </w:rPr>
        <w:t xml:space="preserve"> [13,14,15]</w:t>
      </w:r>
      <w:r w:rsidRPr="00E50935">
        <w:rPr>
          <w:rFonts w:ascii="Times New Roman" w:hAnsi="Times New Roman" w:cs="Times New Roman"/>
          <w:sz w:val="28"/>
          <w:szCs w:val="28"/>
        </w:rPr>
        <w:t>.</w:t>
      </w:r>
    </w:p>
    <w:p w:rsidR="00E50935" w:rsidRPr="00E50935" w:rsidRDefault="00E50935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35">
        <w:rPr>
          <w:rFonts w:ascii="Times New Roman" w:hAnsi="Times New Roman" w:cs="Times New Roman"/>
          <w:sz w:val="28"/>
          <w:szCs w:val="28"/>
        </w:rPr>
        <w:t xml:space="preserve">2. </w:t>
      </w:r>
      <w:r w:rsidR="00C40FBC">
        <w:rPr>
          <w:rFonts w:ascii="Times New Roman" w:hAnsi="Times New Roman" w:cs="Times New Roman"/>
          <w:sz w:val="28"/>
          <w:szCs w:val="28"/>
        </w:rPr>
        <w:t xml:space="preserve">Відділення Б </w:t>
      </w:r>
      <w:r w:rsidR="00522FBC">
        <w:rPr>
          <w:rFonts w:ascii="Times New Roman" w:hAnsi="Times New Roman" w:cs="Times New Roman"/>
          <w:sz w:val="28"/>
          <w:szCs w:val="28"/>
        </w:rPr>
        <w:t xml:space="preserve"> - Таблиця </w:t>
      </w:r>
      <w:r w:rsidRPr="00E50935">
        <w:rPr>
          <w:rFonts w:ascii="Times New Roman" w:hAnsi="Times New Roman" w:cs="Times New Roman"/>
          <w:sz w:val="28"/>
          <w:szCs w:val="28"/>
        </w:rPr>
        <w:t>3</w:t>
      </w:r>
      <w:r w:rsidR="0098294E">
        <w:rPr>
          <w:rFonts w:ascii="Times New Roman" w:hAnsi="Times New Roman" w:cs="Times New Roman"/>
          <w:sz w:val="28"/>
          <w:szCs w:val="28"/>
        </w:rPr>
        <w:t xml:space="preserve"> </w:t>
      </w:r>
      <w:r w:rsidR="00912F8C" w:rsidRPr="00375F61">
        <w:rPr>
          <w:rFonts w:ascii="Times New Roman" w:hAnsi="Times New Roman" w:cs="Times New Roman"/>
          <w:sz w:val="28"/>
          <w:szCs w:val="28"/>
        </w:rPr>
        <w:t>[13,14,15]</w:t>
      </w:r>
      <w:bookmarkStart w:id="0" w:name="_GoBack"/>
      <w:bookmarkEnd w:id="0"/>
      <w:r w:rsidRPr="00E50935">
        <w:rPr>
          <w:rFonts w:ascii="Times New Roman" w:hAnsi="Times New Roman" w:cs="Times New Roman"/>
          <w:sz w:val="28"/>
          <w:szCs w:val="28"/>
        </w:rPr>
        <w:t>.</w:t>
      </w:r>
    </w:p>
    <w:p w:rsidR="00E50935" w:rsidRPr="00E50935" w:rsidRDefault="00E50935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0935">
        <w:rPr>
          <w:rFonts w:ascii="Times New Roman" w:hAnsi="Times New Roman" w:cs="Times New Roman"/>
          <w:sz w:val="28"/>
          <w:szCs w:val="28"/>
        </w:rPr>
        <w:t>. Структура збитків банку від операційного ризику по бізнес-одиницям і типа</w:t>
      </w:r>
      <w:r w:rsidR="0098294E">
        <w:rPr>
          <w:rFonts w:ascii="Times New Roman" w:hAnsi="Times New Roman" w:cs="Times New Roman"/>
          <w:sz w:val="28"/>
          <w:szCs w:val="28"/>
        </w:rPr>
        <w:t>х</w:t>
      </w:r>
      <w:r w:rsidRPr="00E50935">
        <w:rPr>
          <w:rFonts w:ascii="Times New Roman" w:hAnsi="Times New Roman" w:cs="Times New Roman"/>
          <w:sz w:val="28"/>
          <w:szCs w:val="28"/>
        </w:rPr>
        <w:t xml:space="preserve"> ризиків (за весь період з</w:t>
      </w:r>
      <w:r w:rsidR="004F61DB">
        <w:rPr>
          <w:rFonts w:ascii="Times New Roman" w:hAnsi="Times New Roman" w:cs="Times New Roman"/>
          <w:sz w:val="28"/>
          <w:szCs w:val="28"/>
        </w:rPr>
        <w:t xml:space="preserve"> 2013 по 2015</w:t>
      </w:r>
      <w:r w:rsidR="00522FBC">
        <w:rPr>
          <w:rFonts w:ascii="Times New Roman" w:hAnsi="Times New Roman" w:cs="Times New Roman"/>
          <w:sz w:val="28"/>
          <w:szCs w:val="28"/>
        </w:rPr>
        <w:t xml:space="preserve"> рр.) - Таблиця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0935">
        <w:rPr>
          <w:rFonts w:ascii="Times New Roman" w:hAnsi="Times New Roman" w:cs="Times New Roman"/>
          <w:sz w:val="28"/>
          <w:szCs w:val="28"/>
        </w:rPr>
        <w:t>.</w:t>
      </w:r>
    </w:p>
    <w:p w:rsidR="00E50935" w:rsidRDefault="00E50935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0935">
        <w:rPr>
          <w:rFonts w:ascii="Times New Roman" w:hAnsi="Times New Roman" w:cs="Times New Roman"/>
          <w:sz w:val="28"/>
          <w:szCs w:val="28"/>
        </w:rPr>
        <w:t>. Динаміка збитків банку від операційного ризику по бізнес-одиниця</w:t>
      </w:r>
      <w:r w:rsidR="0098294E">
        <w:rPr>
          <w:rFonts w:ascii="Times New Roman" w:hAnsi="Times New Roman" w:cs="Times New Roman"/>
          <w:sz w:val="28"/>
          <w:szCs w:val="28"/>
        </w:rPr>
        <w:t>х</w:t>
      </w:r>
      <w:r w:rsidRPr="00E50935">
        <w:rPr>
          <w:rFonts w:ascii="Times New Roman" w:hAnsi="Times New Roman" w:cs="Times New Roman"/>
          <w:sz w:val="28"/>
          <w:szCs w:val="28"/>
        </w:rPr>
        <w:t xml:space="preserve"> за період </w:t>
      </w:r>
      <w:r w:rsidR="004F61DB">
        <w:rPr>
          <w:rFonts w:ascii="Times New Roman" w:hAnsi="Times New Roman" w:cs="Times New Roman"/>
          <w:sz w:val="28"/>
          <w:szCs w:val="28"/>
        </w:rPr>
        <w:t>з 2013 по 2015</w:t>
      </w:r>
      <w:r w:rsidR="00522FBC">
        <w:rPr>
          <w:rFonts w:ascii="Times New Roman" w:hAnsi="Times New Roman" w:cs="Times New Roman"/>
          <w:sz w:val="28"/>
          <w:szCs w:val="28"/>
        </w:rPr>
        <w:t xml:space="preserve"> рр. - Таблиця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0935">
        <w:rPr>
          <w:rFonts w:ascii="Times New Roman" w:hAnsi="Times New Roman" w:cs="Times New Roman"/>
          <w:sz w:val="28"/>
          <w:szCs w:val="28"/>
        </w:rPr>
        <w:t>.</w:t>
      </w:r>
    </w:p>
    <w:p w:rsidR="004F61DB" w:rsidRPr="004F61DB" w:rsidRDefault="00522FBC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4F61DB" w:rsidRPr="004F61DB">
        <w:rPr>
          <w:rFonts w:ascii="Times New Roman" w:hAnsi="Times New Roman" w:cs="Times New Roman"/>
          <w:sz w:val="28"/>
          <w:szCs w:val="28"/>
        </w:rPr>
        <w:t>2</w:t>
      </w:r>
    </w:p>
    <w:p w:rsidR="004F61DB" w:rsidRDefault="004F61DB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1DB">
        <w:rPr>
          <w:rFonts w:ascii="Times New Roman" w:hAnsi="Times New Roman" w:cs="Times New Roman"/>
          <w:sz w:val="28"/>
          <w:szCs w:val="28"/>
        </w:rPr>
        <w:t xml:space="preserve">Обсяг </w:t>
      </w:r>
      <w:r>
        <w:rPr>
          <w:rFonts w:ascii="Times New Roman" w:hAnsi="Times New Roman" w:cs="Times New Roman"/>
          <w:sz w:val="28"/>
          <w:szCs w:val="28"/>
        </w:rPr>
        <w:t>втрат</w:t>
      </w:r>
      <w:r w:rsidRPr="004F61DB">
        <w:rPr>
          <w:rFonts w:ascii="Times New Roman" w:hAnsi="Times New Roman" w:cs="Times New Roman"/>
          <w:sz w:val="28"/>
          <w:szCs w:val="28"/>
        </w:rPr>
        <w:t xml:space="preserve"> від реалізації операційного ризику з</w:t>
      </w:r>
      <w:r>
        <w:rPr>
          <w:rFonts w:ascii="Times New Roman" w:hAnsi="Times New Roman" w:cs="Times New Roman"/>
          <w:sz w:val="28"/>
          <w:szCs w:val="28"/>
        </w:rPr>
        <w:t>а типами ризику за період з 2013  по 2015 рр.</w:t>
      </w:r>
      <w:r w:rsidR="00522FBC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відділенні </w:t>
      </w:r>
      <w:r w:rsidR="00522F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(тис. грн.)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1"/>
        <w:gridCol w:w="2373"/>
        <w:gridCol w:w="2651"/>
        <w:gridCol w:w="2094"/>
        <w:gridCol w:w="1321"/>
      </w:tblGrid>
      <w:tr w:rsidR="00EF67E9" w:rsidRPr="0098294E" w:rsidTr="0098294E">
        <w:trPr>
          <w:trHeight w:val="300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F67E9" w:rsidRPr="0098294E" w:rsidRDefault="00522FBC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3719" w:type="pct"/>
            <w:gridSpan w:val="3"/>
            <w:shd w:val="clear" w:color="auto" w:fill="auto"/>
            <w:noWrap/>
            <w:vAlign w:val="center"/>
            <w:hideMark/>
          </w:tcPr>
          <w:p w:rsidR="00EF67E9" w:rsidRPr="0098294E" w:rsidRDefault="00EF67E9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Тип ризику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:rsidR="00EF67E9" w:rsidRPr="0098294E" w:rsidRDefault="00EF67E9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EF67E9" w:rsidRPr="0098294E" w:rsidTr="0098294E">
        <w:trPr>
          <w:trHeight w:val="300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240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85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90" w:type="pct"/>
            <w:vMerge/>
            <w:shd w:val="clear" w:color="auto" w:fill="auto"/>
            <w:noWrap/>
            <w:vAlign w:val="center"/>
            <w:hideMark/>
          </w:tcPr>
          <w:p w:rsidR="00EF67E9" w:rsidRPr="0098294E" w:rsidRDefault="00EF67E9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4F61DB" w:rsidRPr="0098294E" w:rsidTr="0098294E">
        <w:trPr>
          <w:trHeight w:val="300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</w:t>
            </w:r>
          </w:p>
        </w:tc>
        <w:tc>
          <w:tcPr>
            <w:tcW w:w="124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12125</w:t>
            </w:r>
          </w:p>
        </w:tc>
        <w:tc>
          <w:tcPr>
            <w:tcW w:w="1385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7928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14782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34835</w:t>
            </w:r>
          </w:p>
        </w:tc>
      </w:tr>
      <w:tr w:rsidR="004F61DB" w:rsidRPr="0098294E" w:rsidTr="0098294E">
        <w:trPr>
          <w:trHeight w:val="300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</w:t>
            </w:r>
          </w:p>
        </w:tc>
        <w:tc>
          <w:tcPr>
            <w:tcW w:w="124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8119</w:t>
            </w:r>
          </w:p>
        </w:tc>
        <w:tc>
          <w:tcPr>
            <w:tcW w:w="1385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3782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16450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28351</w:t>
            </w:r>
          </w:p>
        </w:tc>
      </w:tr>
      <w:tr w:rsidR="004F61DB" w:rsidRPr="0098294E" w:rsidTr="0098294E">
        <w:trPr>
          <w:trHeight w:val="300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124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14782</w:t>
            </w:r>
          </w:p>
        </w:tc>
        <w:tc>
          <w:tcPr>
            <w:tcW w:w="1385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1159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11240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27181</w:t>
            </w:r>
          </w:p>
        </w:tc>
      </w:tr>
      <w:tr w:rsidR="004F61DB" w:rsidRPr="0098294E" w:rsidTr="0098294E">
        <w:trPr>
          <w:trHeight w:val="300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4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35026</w:t>
            </w:r>
          </w:p>
        </w:tc>
        <w:tc>
          <w:tcPr>
            <w:tcW w:w="1385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12869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42472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4F61DB" w:rsidRPr="0098294E" w:rsidRDefault="004F61DB" w:rsidP="004F6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90367</w:t>
            </w:r>
          </w:p>
        </w:tc>
      </w:tr>
    </w:tbl>
    <w:p w:rsidR="00EF67E9" w:rsidRPr="004F61DB" w:rsidRDefault="00795011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EF67E9">
        <w:rPr>
          <w:rFonts w:ascii="Times New Roman" w:hAnsi="Times New Roman" w:cs="Times New Roman"/>
          <w:sz w:val="28"/>
          <w:szCs w:val="28"/>
        </w:rPr>
        <w:t>3</w:t>
      </w:r>
    </w:p>
    <w:p w:rsidR="00EF67E9" w:rsidRDefault="00EF67E9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1DB">
        <w:rPr>
          <w:rFonts w:ascii="Times New Roman" w:hAnsi="Times New Roman" w:cs="Times New Roman"/>
          <w:sz w:val="28"/>
          <w:szCs w:val="28"/>
        </w:rPr>
        <w:lastRenderedPageBreak/>
        <w:t xml:space="preserve">Обсяг </w:t>
      </w:r>
      <w:r>
        <w:rPr>
          <w:rFonts w:ascii="Times New Roman" w:hAnsi="Times New Roman" w:cs="Times New Roman"/>
          <w:sz w:val="28"/>
          <w:szCs w:val="28"/>
        </w:rPr>
        <w:t>втрат</w:t>
      </w:r>
      <w:r w:rsidRPr="004F61DB">
        <w:rPr>
          <w:rFonts w:ascii="Times New Roman" w:hAnsi="Times New Roman" w:cs="Times New Roman"/>
          <w:sz w:val="28"/>
          <w:szCs w:val="28"/>
        </w:rPr>
        <w:t xml:space="preserve"> від реалізації операційного ризику з</w:t>
      </w:r>
      <w:r>
        <w:rPr>
          <w:rFonts w:ascii="Times New Roman" w:hAnsi="Times New Roman" w:cs="Times New Roman"/>
          <w:sz w:val="28"/>
          <w:szCs w:val="28"/>
        </w:rPr>
        <w:t>а типами ризику за період з 2013  по 2015 рр. у</w:t>
      </w:r>
      <w:r w:rsidRPr="004F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відділенні </w:t>
      </w:r>
      <w:r w:rsidR="00795011">
        <w:rPr>
          <w:rFonts w:ascii="Times New Roman" w:hAnsi="Times New Roman" w:cs="Times New Roman"/>
          <w:sz w:val="28"/>
          <w:szCs w:val="28"/>
        </w:rPr>
        <w:t>Б</w:t>
      </w:r>
      <w:r w:rsidRPr="00E50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(тис. грн.)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1927"/>
        <w:gridCol w:w="2632"/>
        <w:gridCol w:w="2079"/>
        <w:gridCol w:w="1382"/>
      </w:tblGrid>
      <w:tr w:rsidR="00EF67E9" w:rsidRPr="0098294E" w:rsidTr="0098294E">
        <w:trPr>
          <w:trHeight w:val="300"/>
        </w:trPr>
        <w:tc>
          <w:tcPr>
            <w:tcW w:w="810" w:type="pct"/>
            <w:shd w:val="clear" w:color="auto" w:fill="auto"/>
            <w:noWrap/>
            <w:vAlign w:val="center"/>
            <w:hideMark/>
          </w:tcPr>
          <w:p w:rsidR="00EF67E9" w:rsidRPr="0098294E" w:rsidRDefault="00795011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467" w:type="pct"/>
            <w:gridSpan w:val="3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Тип ризику</w:t>
            </w:r>
          </w:p>
        </w:tc>
        <w:tc>
          <w:tcPr>
            <w:tcW w:w="723" w:type="pct"/>
            <w:vMerge w:val="restar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EF67E9" w:rsidRPr="0098294E" w:rsidTr="0098294E">
        <w:trPr>
          <w:trHeight w:val="300"/>
        </w:trPr>
        <w:tc>
          <w:tcPr>
            <w:tcW w:w="810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86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3" w:type="pct"/>
            <w:vMerge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</w:tr>
      <w:tr w:rsidR="00EF67E9" w:rsidRPr="0098294E" w:rsidTr="0098294E">
        <w:trPr>
          <w:trHeight w:val="300"/>
        </w:trPr>
        <w:tc>
          <w:tcPr>
            <w:tcW w:w="810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8765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218</w:t>
            </w:r>
          </w:p>
        </w:tc>
        <w:tc>
          <w:tcPr>
            <w:tcW w:w="1086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15048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24031</w:t>
            </w:r>
          </w:p>
        </w:tc>
      </w:tr>
      <w:tr w:rsidR="00EF67E9" w:rsidRPr="0098294E" w:rsidTr="0098294E">
        <w:trPr>
          <w:trHeight w:val="300"/>
        </w:trPr>
        <w:tc>
          <w:tcPr>
            <w:tcW w:w="810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11400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1470</w:t>
            </w:r>
          </w:p>
        </w:tc>
        <w:tc>
          <w:tcPr>
            <w:tcW w:w="1086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13021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25891</w:t>
            </w:r>
          </w:p>
        </w:tc>
      </w:tr>
      <w:tr w:rsidR="00EF67E9" w:rsidRPr="0098294E" w:rsidTr="0098294E">
        <w:trPr>
          <w:trHeight w:val="300"/>
        </w:trPr>
        <w:tc>
          <w:tcPr>
            <w:tcW w:w="810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15053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6999</w:t>
            </w:r>
          </w:p>
        </w:tc>
        <w:tc>
          <w:tcPr>
            <w:tcW w:w="1086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9820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31872</w:t>
            </w:r>
          </w:p>
        </w:tc>
      </w:tr>
      <w:tr w:rsidR="00EF67E9" w:rsidRPr="0098294E" w:rsidTr="0098294E">
        <w:trPr>
          <w:trHeight w:val="300"/>
        </w:trPr>
        <w:tc>
          <w:tcPr>
            <w:tcW w:w="810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0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35218</w:t>
            </w:r>
          </w:p>
        </w:tc>
        <w:tc>
          <w:tcPr>
            <w:tcW w:w="1375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8687</w:t>
            </w:r>
          </w:p>
        </w:tc>
        <w:tc>
          <w:tcPr>
            <w:tcW w:w="1086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37889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81794</w:t>
            </w:r>
          </w:p>
        </w:tc>
      </w:tr>
    </w:tbl>
    <w:p w:rsidR="00EF67E9" w:rsidRPr="00EF67E9" w:rsidRDefault="00795011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EF67E9">
        <w:rPr>
          <w:rFonts w:ascii="Times New Roman" w:hAnsi="Times New Roman" w:cs="Times New Roman"/>
          <w:sz w:val="28"/>
          <w:szCs w:val="28"/>
        </w:rPr>
        <w:t>4</w:t>
      </w:r>
    </w:p>
    <w:p w:rsidR="004F61DB" w:rsidRDefault="00EF67E9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67E9">
        <w:rPr>
          <w:rFonts w:ascii="Times New Roman" w:hAnsi="Times New Roman" w:cs="Times New Roman"/>
          <w:sz w:val="28"/>
          <w:szCs w:val="28"/>
        </w:rPr>
        <w:t>Структура збитків банку від операційного ризику по бізнес-</w:t>
      </w:r>
      <w:r w:rsidR="0098294E">
        <w:rPr>
          <w:rFonts w:ascii="Times New Roman" w:hAnsi="Times New Roman" w:cs="Times New Roman"/>
          <w:sz w:val="28"/>
          <w:szCs w:val="28"/>
        </w:rPr>
        <w:t>одиницях</w:t>
      </w:r>
      <w:r w:rsidRPr="00EF67E9">
        <w:rPr>
          <w:rFonts w:ascii="Times New Roman" w:hAnsi="Times New Roman" w:cs="Times New Roman"/>
          <w:sz w:val="28"/>
          <w:szCs w:val="28"/>
        </w:rPr>
        <w:t xml:space="preserve"> і типа</w:t>
      </w:r>
      <w:r w:rsidR="0098294E">
        <w:rPr>
          <w:rFonts w:ascii="Times New Roman" w:hAnsi="Times New Roman" w:cs="Times New Roman"/>
          <w:sz w:val="28"/>
          <w:szCs w:val="28"/>
        </w:rPr>
        <w:t>х</w:t>
      </w:r>
      <w:r w:rsidR="00040DB9">
        <w:rPr>
          <w:rFonts w:ascii="Times New Roman" w:hAnsi="Times New Roman" w:cs="Times New Roman"/>
          <w:sz w:val="28"/>
          <w:szCs w:val="28"/>
        </w:rPr>
        <w:t xml:space="preserve"> ризиків </w:t>
      </w:r>
      <w:r>
        <w:rPr>
          <w:rFonts w:ascii="Times New Roman" w:hAnsi="Times New Roman" w:cs="Times New Roman"/>
          <w:sz w:val="28"/>
          <w:szCs w:val="28"/>
        </w:rPr>
        <w:t>за період з 2013 по 2015</w:t>
      </w:r>
      <w:r w:rsidR="00040DB9">
        <w:rPr>
          <w:rFonts w:ascii="Times New Roman" w:hAnsi="Times New Roman" w:cs="Times New Roman"/>
          <w:sz w:val="28"/>
          <w:szCs w:val="28"/>
        </w:rPr>
        <w:t xml:space="preserve"> рр. (тис.</w:t>
      </w:r>
      <w:r w:rsidR="0098294E">
        <w:rPr>
          <w:rFonts w:ascii="Times New Roman" w:hAnsi="Times New Roman" w:cs="Times New Roman"/>
          <w:sz w:val="28"/>
          <w:szCs w:val="28"/>
        </w:rPr>
        <w:t xml:space="preserve"> </w:t>
      </w:r>
      <w:r w:rsidR="00040DB9">
        <w:rPr>
          <w:rFonts w:ascii="Times New Roman" w:hAnsi="Times New Roman" w:cs="Times New Roman"/>
          <w:sz w:val="28"/>
          <w:szCs w:val="28"/>
        </w:rPr>
        <w:t>грн.)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8"/>
        <w:gridCol w:w="1269"/>
        <w:gridCol w:w="1165"/>
        <w:gridCol w:w="1468"/>
        <w:gridCol w:w="1443"/>
        <w:gridCol w:w="1443"/>
        <w:gridCol w:w="1304"/>
      </w:tblGrid>
      <w:tr w:rsidR="00EF67E9" w:rsidRPr="0098294E" w:rsidTr="0098294E">
        <w:trPr>
          <w:trHeight w:val="300"/>
        </w:trPr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Тип ризику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EF67E9" w:rsidRPr="0098294E" w:rsidRDefault="00795011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EF67E9" w:rsidRPr="0098294E" w:rsidRDefault="0098294E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Частка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EF67E9" w:rsidRPr="0098294E" w:rsidRDefault="00795011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98294E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Частка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EF67E9" w:rsidRPr="0098294E" w:rsidRDefault="0098294E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Частка</w:t>
            </w:r>
          </w:p>
        </w:tc>
      </w:tr>
      <w:tr w:rsidR="00EF67E9" w:rsidRPr="0098294E" w:rsidTr="0098294E">
        <w:trPr>
          <w:trHeight w:val="300"/>
        </w:trPr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35026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0,387597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35218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0,430569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70244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0,408013</w:t>
            </w:r>
          </w:p>
        </w:tc>
      </w:tr>
      <w:tr w:rsidR="00EF67E9" w:rsidRPr="0098294E" w:rsidTr="0098294E">
        <w:trPr>
          <w:trHeight w:val="300"/>
        </w:trPr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12869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0,142408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8687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0,106206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21556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0,125208</w:t>
            </w:r>
          </w:p>
        </w:tc>
      </w:tr>
      <w:tr w:rsidR="00EF67E9" w:rsidRPr="0098294E" w:rsidTr="0098294E">
        <w:trPr>
          <w:trHeight w:val="300"/>
        </w:trPr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42472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0,469995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37889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0,463225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80361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0,466778</w:t>
            </w:r>
          </w:p>
        </w:tc>
      </w:tr>
      <w:tr w:rsidR="00EF67E9" w:rsidRPr="0098294E" w:rsidTr="0098294E">
        <w:trPr>
          <w:trHeight w:val="300"/>
        </w:trPr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90367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81794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94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172161</w:t>
            </w:r>
          </w:p>
        </w:tc>
        <w:tc>
          <w:tcPr>
            <w:tcW w:w="721" w:type="pct"/>
            <w:shd w:val="clear" w:color="auto" w:fill="auto"/>
            <w:noWrap/>
            <w:vAlign w:val="center"/>
            <w:hideMark/>
          </w:tcPr>
          <w:p w:rsidR="00EF67E9" w:rsidRPr="0098294E" w:rsidRDefault="00EF67E9" w:rsidP="00EF6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</w:tbl>
    <w:p w:rsidR="00040DB9" w:rsidRPr="00040DB9" w:rsidRDefault="00795011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040DB9">
        <w:rPr>
          <w:rFonts w:ascii="Times New Roman" w:hAnsi="Times New Roman" w:cs="Times New Roman"/>
          <w:sz w:val="28"/>
          <w:szCs w:val="28"/>
        </w:rPr>
        <w:t>5</w:t>
      </w:r>
    </w:p>
    <w:p w:rsidR="004F61DB" w:rsidRDefault="00040DB9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0DB9">
        <w:rPr>
          <w:rFonts w:ascii="Times New Roman" w:hAnsi="Times New Roman" w:cs="Times New Roman"/>
          <w:sz w:val="28"/>
          <w:szCs w:val="28"/>
        </w:rPr>
        <w:t xml:space="preserve">Динаміка збитків банку від операційного ризику по </w:t>
      </w:r>
      <w:r w:rsidR="0098294E">
        <w:rPr>
          <w:rFonts w:ascii="Times New Roman" w:hAnsi="Times New Roman" w:cs="Times New Roman"/>
          <w:sz w:val="28"/>
          <w:szCs w:val="28"/>
        </w:rPr>
        <w:t>бізнес-одиницях</w:t>
      </w:r>
      <w:r>
        <w:rPr>
          <w:rFonts w:ascii="Times New Roman" w:hAnsi="Times New Roman" w:cs="Times New Roman"/>
          <w:sz w:val="28"/>
          <w:szCs w:val="28"/>
        </w:rPr>
        <w:t xml:space="preserve"> за період з 2013 по 2015</w:t>
      </w:r>
      <w:r w:rsidRPr="00040DB9">
        <w:rPr>
          <w:rFonts w:ascii="Times New Roman" w:hAnsi="Times New Roman" w:cs="Times New Roman"/>
          <w:sz w:val="28"/>
          <w:szCs w:val="28"/>
        </w:rPr>
        <w:t xml:space="preserve"> рр.</w:t>
      </w:r>
      <w:r>
        <w:rPr>
          <w:rFonts w:ascii="Times New Roman" w:hAnsi="Times New Roman" w:cs="Times New Roman"/>
          <w:sz w:val="28"/>
          <w:szCs w:val="28"/>
        </w:rPr>
        <w:t xml:space="preserve"> (тис. грн.)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"/>
        <w:gridCol w:w="2400"/>
        <w:gridCol w:w="3047"/>
        <w:gridCol w:w="3185"/>
      </w:tblGrid>
      <w:tr w:rsidR="00325E46" w:rsidRPr="0098294E" w:rsidTr="0098294E">
        <w:trPr>
          <w:trHeight w:val="30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:rsidR="00325E46" w:rsidRPr="0098294E" w:rsidRDefault="0098294E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:rsidR="00325E46" w:rsidRPr="0098294E" w:rsidRDefault="00795011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325E46" w:rsidRPr="0098294E" w:rsidRDefault="00795011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66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Сума</w:t>
            </w:r>
          </w:p>
        </w:tc>
      </w:tr>
      <w:tr w:rsidR="00325E46" w:rsidRPr="0098294E" w:rsidTr="0098294E">
        <w:trPr>
          <w:trHeight w:val="30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34835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24031</w:t>
            </w:r>
          </w:p>
        </w:tc>
        <w:tc>
          <w:tcPr>
            <w:tcW w:w="166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58866</w:t>
            </w:r>
          </w:p>
        </w:tc>
      </w:tr>
      <w:tr w:rsidR="00325E46" w:rsidRPr="0098294E" w:rsidTr="0098294E">
        <w:trPr>
          <w:trHeight w:val="30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28351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25891</w:t>
            </w:r>
          </w:p>
        </w:tc>
        <w:tc>
          <w:tcPr>
            <w:tcW w:w="166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54242</w:t>
            </w:r>
          </w:p>
        </w:tc>
      </w:tr>
      <w:tr w:rsidR="00325E46" w:rsidRPr="0098294E" w:rsidTr="0098294E">
        <w:trPr>
          <w:trHeight w:val="30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27181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31872</w:t>
            </w:r>
          </w:p>
        </w:tc>
        <w:tc>
          <w:tcPr>
            <w:tcW w:w="166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59053</w:t>
            </w:r>
          </w:p>
        </w:tc>
      </w:tr>
      <w:tr w:rsidR="00325E46" w:rsidRPr="0098294E" w:rsidTr="0098294E">
        <w:trPr>
          <w:trHeight w:val="300"/>
        </w:trPr>
        <w:tc>
          <w:tcPr>
            <w:tcW w:w="490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Сума</w:t>
            </w:r>
          </w:p>
        </w:tc>
        <w:tc>
          <w:tcPr>
            <w:tcW w:w="125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90367</w:t>
            </w:r>
          </w:p>
        </w:tc>
        <w:tc>
          <w:tcPr>
            <w:tcW w:w="1592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81794</w:t>
            </w:r>
          </w:p>
        </w:tc>
        <w:tc>
          <w:tcPr>
            <w:tcW w:w="1664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172161</w:t>
            </w:r>
          </w:p>
        </w:tc>
      </w:tr>
    </w:tbl>
    <w:p w:rsidR="00325E46" w:rsidRDefault="00325E46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5E46" w:rsidRPr="00325E46" w:rsidRDefault="00325E46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E46">
        <w:rPr>
          <w:rFonts w:ascii="Times New Roman" w:hAnsi="Times New Roman" w:cs="Times New Roman"/>
          <w:sz w:val="28"/>
          <w:szCs w:val="28"/>
        </w:rPr>
        <w:t>Дані за кількістю подій операційного ризику для оцінки ча</w:t>
      </w:r>
      <w:r w:rsidR="00795011">
        <w:rPr>
          <w:rFonts w:ascii="Times New Roman" w:hAnsi="Times New Roman" w:cs="Times New Roman"/>
          <w:sz w:val="28"/>
          <w:szCs w:val="28"/>
        </w:rPr>
        <w:t xml:space="preserve">стоти представлені в Таблиця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5E46">
        <w:rPr>
          <w:rFonts w:ascii="Times New Roman" w:hAnsi="Times New Roman" w:cs="Times New Roman"/>
          <w:sz w:val="28"/>
          <w:szCs w:val="28"/>
        </w:rPr>
        <w:t>.</w:t>
      </w:r>
    </w:p>
    <w:p w:rsidR="00325E46" w:rsidRPr="00325E46" w:rsidRDefault="00795011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325E46">
        <w:rPr>
          <w:rFonts w:ascii="Times New Roman" w:hAnsi="Times New Roman" w:cs="Times New Roman"/>
          <w:sz w:val="28"/>
          <w:szCs w:val="28"/>
        </w:rPr>
        <w:t>6</w:t>
      </w:r>
    </w:p>
    <w:p w:rsidR="00325E46" w:rsidRDefault="00325E46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5E46">
        <w:rPr>
          <w:rFonts w:ascii="Times New Roman" w:hAnsi="Times New Roman" w:cs="Times New Roman"/>
          <w:sz w:val="28"/>
          <w:szCs w:val="28"/>
        </w:rPr>
        <w:t>Кількість подій опер</w:t>
      </w:r>
      <w:r w:rsidR="0098294E">
        <w:rPr>
          <w:rFonts w:ascii="Times New Roman" w:hAnsi="Times New Roman" w:cs="Times New Roman"/>
          <w:sz w:val="28"/>
          <w:szCs w:val="28"/>
        </w:rPr>
        <w:t>аційного ризику за період з 20</w:t>
      </w:r>
      <w:r>
        <w:rPr>
          <w:rFonts w:ascii="Times New Roman" w:hAnsi="Times New Roman" w:cs="Times New Roman"/>
          <w:sz w:val="28"/>
          <w:szCs w:val="28"/>
        </w:rPr>
        <w:t xml:space="preserve">13 по 2015 рр. </w:t>
      </w:r>
      <w:r w:rsidRPr="00325E46">
        <w:rPr>
          <w:rFonts w:ascii="Times New Roman" w:hAnsi="Times New Roman" w:cs="Times New Roman"/>
          <w:sz w:val="28"/>
          <w:szCs w:val="28"/>
        </w:rPr>
        <w:t>у розрізі бізнес-одиниць за типами ризику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1661"/>
        <w:gridCol w:w="1108"/>
        <w:gridCol w:w="1108"/>
        <w:gridCol w:w="1108"/>
        <w:gridCol w:w="1246"/>
        <w:gridCol w:w="968"/>
      </w:tblGrid>
      <w:tr w:rsidR="00325E46" w:rsidRPr="0098294E" w:rsidTr="0098294E">
        <w:trPr>
          <w:trHeight w:val="300"/>
        </w:trPr>
        <w:tc>
          <w:tcPr>
            <w:tcW w:w="123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Бізнес одиниці</w:t>
            </w:r>
          </w:p>
        </w:tc>
        <w:tc>
          <w:tcPr>
            <w:tcW w:w="2026" w:type="pct"/>
            <w:gridSpan w:val="3"/>
            <w:shd w:val="clear" w:color="auto" w:fill="auto"/>
            <w:noWrap/>
            <w:vAlign w:val="center"/>
            <w:hideMark/>
          </w:tcPr>
          <w:p w:rsidR="00325E46" w:rsidRPr="0098294E" w:rsidRDefault="00795011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736" w:type="pct"/>
            <w:gridSpan w:val="3"/>
            <w:shd w:val="clear" w:color="auto" w:fill="auto"/>
            <w:noWrap/>
            <w:vAlign w:val="center"/>
            <w:hideMark/>
          </w:tcPr>
          <w:p w:rsidR="00325E46" w:rsidRPr="0098294E" w:rsidRDefault="00795011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</w:p>
        </w:tc>
      </w:tr>
      <w:tr w:rsidR="00325E46" w:rsidRPr="0098294E" w:rsidTr="0098294E">
        <w:trPr>
          <w:trHeight w:val="300"/>
        </w:trPr>
        <w:tc>
          <w:tcPr>
            <w:tcW w:w="123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325E46" w:rsidRPr="0098294E" w:rsidTr="0098294E">
        <w:trPr>
          <w:trHeight w:val="375"/>
        </w:trPr>
        <w:tc>
          <w:tcPr>
            <w:tcW w:w="123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2013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10</w:t>
            </w:r>
          </w:p>
        </w:tc>
      </w:tr>
      <w:tr w:rsidR="00325E46" w:rsidRPr="0098294E" w:rsidTr="0098294E">
        <w:trPr>
          <w:trHeight w:val="375"/>
        </w:trPr>
        <w:tc>
          <w:tcPr>
            <w:tcW w:w="123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2014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35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13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33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7</w:t>
            </w:r>
          </w:p>
        </w:tc>
      </w:tr>
      <w:tr w:rsidR="00325E46" w:rsidRPr="0098294E" w:rsidTr="0098294E">
        <w:trPr>
          <w:trHeight w:val="375"/>
        </w:trPr>
        <w:tc>
          <w:tcPr>
            <w:tcW w:w="123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2015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72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54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18</w:t>
            </w:r>
          </w:p>
        </w:tc>
      </w:tr>
      <w:tr w:rsidR="00325E46" w:rsidRPr="0098294E" w:rsidTr="0098294E">
        <w:trPr>
          <w:trHeight w:val="300"/>
        </w:trPr>
        <w:tc>
          <w:tcPr>
            <w:tcW w:w="123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651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325E46" w:rsidRPr="0098294E" w:rsidRDefault="00325E46" w:rsidP="00325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35</w:t>
            </w:r>
          </w:p>
        </w:tc>
      </w:tr>
    </w:tbl>
    <w:p w:rsidR="00325E46" w:rsidRPr="00311C19" w:rsidRDefault="00325E46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1C19" w:rsidRDefault="00311C19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C19">
        <w:rPr>
          <w:rFonts w:ascii="Times New Roman" w:hAnsi="Times New Roman" w:cs="Times New Roman"/>
          <w:i/>
          <w:sz w:val="28"/>
          <w:szCs w:val="28"/>
        </w:rPr>
        <w:lastRenderedPageBreak/>
        <w:t>Оцінка параметрів функцій розподілу частоти і масштабів подій за різними типами ризику в бізнес-одиницях</w:t>
      </w:r>
      <w:r w:rsidR="00F820A5">
        <w:rPr>
          <w:rFonts w:ascii="Times New Roman" w:hAnsi="Times New Roman" w:cs="Times New Roman"/>
          <w:i/>
          <w:sz w:val="28"/>
          <w:szCs w:val="28"/>
        </w:rPr>
        <w:t>.</w:t>
      </w:r>
    </w:p>
    <w:p w:rsidR="00311C19" w:rsidRPr="00311C19" w:rsidRDefault="00311C19" w:rsidP="0098294E">
      <w:pPr>
        <w:pStyle w:val="a3"/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11C19">
        <w:rPr>
          <w:rFonts w:ascii="Times New Roman" w:hAnsi="Times New Roman" w:cs="Times New Roman"/>
          <w:sz w:val="28"/>
          <w:szCs w:val="28"/>
        </w:rPr>
        <w:t>Оцінка параметрів розподілу частоти.</w:t>
      </w:r>
    </w:p>
    <w:p w:rsidR="00311C19" w:rsidRPr="00311C19" w:rsidRDefault="00311C19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C19">
        <w:rPr>
          <w:rFonts w:ascii="Times New Roman" w:hAnsi="Times New Roman" w:cs="Times New Roman"/>
          <w:sz w:val="28"/>
          <w:szCs w:val="28"/>
        </w:rPr>
        <w:t>Для моделювання розподілу сумар</w:t>
      </w:r>
      <w:r w:rsidR="0098294E">
        <w:rPr>
          <w:rFonts w:ascii="Times New Roman" w:hAnsi="Times New Roman" w:cs="Times New Roman"/>
          <w:sz w:val="28"/>
          <w:szCs w:val="28"/>
        </w:rPr>
        <w:t>ного збитку по бізнес-одиницях</w:t>
      </w:r>
      <w:r w:rsidRPr="00311C19">
        <w:rPr>
          <w:rFonts w:ascii="Times New Roman" w:hAnsi="Times New Roman" w:cs="Times New Roman"/>
          <w:sz w:val="28"/>
          <w:szCs w:val="28"/>
        </w:rPr>
        <w:t xml:space="preserve"> і банку в цілому методом Монте-Карло з урахуванням генерації псевдовипадкових чисел з багатовимірного розподілу Пуассона з заданим вектор</w:t>
      </w:r>
      <w:r w:rsidR="008D1CF5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306CDD">
        <w:rPr>
          <w:rFonts w:ascii="Times New Roman" w:hAnsi="Times New Roman" w:cs="Times New Roman"/>
          <w:sz w:val="28"/>
          <w:szCs w:val="28"/>
        </w:rPr>
        <w:t>інтенсивностей</w:t>
      </w:r>
      <w:proofErr w:type="spellEnd"/>
      <w:r w:rsidR="008D1CF5">
        <w:rPr>
          <w:rFonts w:ascii="Times New Roman" w:hAnsi="Times New Roman" w:cs="Times New Roman"/>
          <w:sz w:val="28"/>
          <w:szCs w:val="28"/>
        </w:rPr>
        <w:t xml:space="preserve"> і кореляційною</w:t>
      </w:r>
      <w:r w:rsidRPr="00311C19">
        <w:rPr>
          <w:rFonts w:ascii="Times New Roman" w:hAnsi="Times New Roman" w:cs="Times New Roman"/>
          <w:sz w:val="28"/>
          <w:szCs w:val="28"/>
        </w:rPr>
        <w:t xml:space="preserve"> матрицею, необхідно оцінити параметри розподілів частот</w:t>
      </w:r>
      <w:r w:rsidR="0098294E">
        <w:rPr>
          <w:rFonts w:ascii="Times New Roman" w:hAnsi="Times New Roman" w:cs="Times New Roman"/>
          <w:sz w:val="28"/>
          <w:szCs w:val="28"/>
        </w:rPr>
        <w:t>и подій по бізнес-одиницях і типах</w:t>
      </w:r>
      <w:r w:rsidRPr="00311C19">
        <w:rPr>
          <w:rFonts w:ascii="Times New Roman" w:hAnsi="Times New Roman" w:cs="Times New Roman"/>
          <w:sz w:val="28"/>
          <w:szCs w:val="28"/>
        </w:rPr>
        <w:t xml:space="preserve"> подій.</w:t>
      </w:r>
    </w:p>
    <w:p w:rsidR="00311C19" w:rsidRDefault="00311C19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C19">
        <w:rPr>
          <w:rFonts w:ascii="Times New Roman" w:hAnsi="Times New Roman" w:cs="Times New Roman"/>
          <w:sz w:val="28"/>
          <w:szCs w:val="28"/>
        </w:rPr>
        <w:t xml:space="preserve">Оцінка параметрів </w:t>
      </w:r>
      <w:r w:rsidRPr="00893B84">
        <w:rPr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p>
      </m:oMath>
      <w:r w:rsidRPr="00893B84">
        <w:rPr>
          <w:sz w:val="28"/>
          <w:szCs w:val="28"/>
        </w:rPr>
        <w:t>)</w:t>
      </w:r>
      <w:r w:rsidR="0098294E">
        <w:rPr>
          <w:sz w:val="28"/>
          <w:szCs w:val="28"/>
        </w:rPr>
        <w:t xml:space="preserve"> </w:t>
      </w:r>
      <w:r w:rsidRPr="00311C19">
        <w:rPr>
          <w:rFonts w:ascii="Times New Roman" w:hAnsi="Times New Roman" w:cs="Times New Roman"/>
          <w:sz w:val="28"/>
          <w:szCs w:val="28"/>
        </w:rPr>
        <w:t xml:space="preserve">для розподілів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i</m:t>
            </m:r>
          </m:sup>
        </m:sSubSup>
        <m:r>
          <w:rPr>
            <w:rFonts w:ascii="Cambria Math" w:hAnsi="Cambria Math"/>
            <w:sz w:val="28"/>
            <w:szCs w:val="28"/>
          </w:rPr>
          <m:t>~</m:t>
        </m:r>
        <m:r>
          <m:rPr>
            <m:scr m:val="script"/>
          </m:rPr>
          <w:rPr>
            <w:rFonts w:ascii="Cambria Math" w:hAnsi="Cambria Math"/>
            <w:sz w:val="28"/>
            <w:szCs w:val="28"/>
            <w:lang w:val="en-US"/>
          </w:rPr>
          <m:t>P</m:t>
        </m:r>
        <m:r>
          <w:rPr>
            <w:rFonts w:ascii="Cambria Math" w:hAnsi="Cambria Math"/>
            <w:sz w:val="28"/>
            <w:szCs w:val="28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λ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p>
        <m:r>
          <w:rPr>
            <w:rFonts w:ascii="Cambria Math" w:hAnsi="Cambria Math"/>
            <w:sz w:val="28"/>
            <w:szCs w:val="28"/>
          </w:rPr>
          <m:t>)</m:t>
        </m:r>
      </m:oMath>
      <w:r w:rsidRPr="00893B84">
        <w:rPr>
          <w:sz w:val="28"/>
          <w:szCs w:val="28"/>
        </w:rPr>
        <w:t xml:space="preserve"> </w:t>
      </w:r>
      <w:r w:rsidRPr="00311C19">
        <w:rPr>
          <w:rFonts w:ascii="Times New Roman" w:hAnsi="Times New Roman" w:cs="Times New Roman"/>
          <w:sz w:val="28"/>
          <w:szCs w:val="28"/>
        </w:rPr>
        <w:t>(Пуассона) здійснювалася шляхом знаходження оцінки математичного очікування к</w:t>
      </w:r>
      <w:r w:rsidR="00735550">
        <w:rPr>
          <w:rFonts w:ascii="Times New Roman" w:hAnsi="Times New Roman" w:cs="Times New Roman"/>
          <w:sz w:val="28"/>
          <w:szCs w:val="28"/>
        </w:rPr>
        <w:t xml:space="preserve">ількості подій за формулою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λ</m:t>
                </m:r>
              </m:e>
            </m:acc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E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p>
            </m:sSubSup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</m:oMath>
      <w:r w:rsidRPr="00311C19">
        <w:rPr>
          <w:rFonts w:ascii="Times New Roman" w:hAnsi="Times New Roman" w:cs="Times New Roman"/>
          <w:sz w:val="28"/>
          <w:szCs w:val="28"/>
        </w:rPr>
        <w:t xml:space="preserve"> середніх значень. Резул</w:t>
      </w:r>
      <w:r w:rsidR="00795011">
        <w:rPr>
          <w:rFonts w:ascii="Times New Roman" w:hAnsi="Times New Roman" w:cs="Times New Roman"/>
          <w:sz w:val="28"/>
          <w:szCs w:val="28"/>
        </w:rPr>
        <w:t xml:space="preserve">ьтати представлені в </w:t>
      </w:r>
      <w:r w:rsidR="0098294E">
        <w:rPr>
          <w:rFonts w:ascii="Times New Roman" w:hAnsi="Times New Roman" w:cs="Times New Roman"/>
          <w:sz w:val="28"/>
          <w:szCs w:val="28"/>
        </w:rPr>
        <w:t>т</w:t>
      </w:r>
      <w:r w:rsidR="00795011">
        <w:rPr>
          <w:rFonts w:ascii="Times New Roman" w:hAnsi="Times New Roman" w:cs="Times New Roman"/>
          <w:sz w:val="28"/>
          <w:szCs w:val="28"/>
        </w:rPr>
        <w:t>абл</w:t>
      </w:r>
      <w:r w:rsidR="0098294E">
        <w:rPr>
          <w:rFonts w:ascii="Times New Roman" w:hAnsi="Times New Roman" w:cs="Times New Roman"/>
          <w:sz w:val="28"/>
          <w:szCs w:val="28"/>
        </w:rPr>
        <w:t>.</w:t>
      </w:r>
      <w:r w:rsidR="00795011">
        <w:rPr>
          <w:rFonts w:ascii="Times New Roman" w:hAnsi="Times New Roman" w:cs="Times New Roman"/>
          <w:sz w:val="28"/>
          <w:szCs w:val="28"/>
        </w:rPr>
        <w:t xml:space="preserve"> </w:t>
      </w:r>
      <w:r w:rsidR="008E1506">
        <w:rPr>
          <w:rFonts w:ascii="Times New Roman" w:hAnsi="Times New Roman" w:cs="Times New Roman"/>
          <w:sz w:val="28"/>
          <w:szCs w:val="28"/>
        </w:rPr>
        <w:t>7</w:t>
      </w:r>
      <w:r w:rsidRPr="00311C19">
        <w:rPr>
          <w:rFonts w:ascii="Times New Roman" w:hAnsi="Times New Roman" w:cs="Times New Roman"/>
          <w:sz w:val="28"/>
          <w:szCs w:val="28"/>
        </w:rPr>
        <w:t>.</w:t>
      </w:r>
    </w:p>
    <w:p w:rsidR="00306CDD" w:rsidRPr="00306CDD" w:rsidRDefault="00795011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306CDD">
        <w:rPr>
          <w:rFonts w:ascii="Times New Roman" w:hAnsi="Times New Roman" w:cs="Times New Roman"/>
          <w:sz w:val="28"/>
          <w:szCs w:val="28"/>
        </w:rPr>
        <w:t>7</w:t>
      </w:r>
    </w:p>
    <w:p w:rsidR="00306CDD" w:rsidRDefault="00306CDD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06CDD">
        <w:rPr>
          <w:rFonts w:ascii="Times New Roman" w:hAnsi="Times New Roman" w:cs="Times New Roman"/>
          <w:sz w:val="28"/>
          <w:szCs w:val="28"/>
        </w:rPr>
        <w:t>Кількість подій опера</w:t>
      </w:r>
      <w:r>
        <w:rPr>
          <w:rFonts w:ascii="Times New Roman" w:hAnsi="Times New Roman" w:cs="Times New Roman"/>
          <w:sz w:val="28"/>
          <w:szCs w:val="28"/>
        </w:rPr>
        <w:t>ційного ризику за період з 2013 по 2015</w:t>
      </w:r>
      <w:r w:rsidRPr="00306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рр.</w:t>
      </w:r>
      <w:r w:rsidRPr="00306CDD">
        <w:rPr>
          <w:rFonts w:ascii="Times New Roman" w:hAnsi="Times New Roman" w:cs="Times New Roman"/>
          <w:sz w:val="28"/>
          <w:szCs w:val="28"/>
        </w:rPr>
        <w:t xml:space="preserve"> у розрізі бізнес-одиниць за типами ризику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  <w:gridCol w:w="968"/>
        <w:gridCol w:w="968"/>
        <w:gridCol w:w="968"/>
        <w:gridCol w:w="1382"/>
        <w:gridCol w:w="1384"/>
        <w:gridCol w:w="1547"/>
      </w:tblGrid>
      <w:tr w:rsidR="00B0743C" w:rsidRPr="0098294E" w:rsidTr="0098294E">
        <w:trPr>
          <w:trHeight w:val="300"/>
        </w:trPr>
        <w:tc>
          <w:tcPr>
            <w:tcW w:w="1229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98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  <w:r w:rsidR="0098294E"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</w:t>
            </w: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знес одиниці</w:t>
            </w:r>
          </w:p>
        </w:tc>
        <w:tc>
          <w:tcPr>
            <w:tcW w:w="1518" w:type="pct"/>
            <w:gridSpan w:val="3"/>
            <w:shd w:val="clear" w:color="auto" w:fill="auto"/>
            <w:noWrap/>
            <w:vAlign w:val="center"/>
            <w:hideMark/>
          </w:tcPr>
          <w:p w:rsidR="00B0743C" w:rsidRPr="0098294E" w:rsidRDefault="0079501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2253" w:type="pct"/>
            <w:gridSpan w:val="3"/>
            <w:shd w:val="clear" w:color="auto" w:fill="auto"/>
            <w:noWrap/>
            <w:vAlign w:val="center"/>
            <w:hideMark/>
          </w:tcPr>
          <w:p w:rsidR="00B0743C" w:rsidRPr="0098294E" w:rsidRDefault="0079501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</w:p>
        </w:tc>
      </w:tr>
      <w:tr w:rsidR="00B0743C" w:rsidRPr="0098294E" w:rsidTr="0098294E">
        <w:trPr>
          <w:trHeight w:val="300"/>
        </w:trPr>
        <w:tc>
          <w:tcPr>
            <w:tcW w:w="1229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98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Тип ризику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B0743C" w:rsidRPr="0098294E" w:rsidRDefault="00B0743C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B0743C" w:rsidRPr="0098294E" w:rsidTr="0098294E">
        <w:trPr>
          <w:trHeight w:val="300"/>
        </w:trPr>
        <w:tc>
          <w:tcPr>
            <w:tcW w:w="1229" w:type="pct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B0743C" w:rsidRPr="0098294E" w:rsidTr="00B0743C">
              <w:trPr>
                <w:trHeight w:val="87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743C" w:rsidRPr="0098294E" w:rsidRDefault="00B0743C" w:rsidP="009829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uk-UA"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E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i</m:t>
                              </m:r>
                            </m:sup>
                          </m:sSubSup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</m:oMath>
                  </m:oMathPara>
                </w:p>
              </w:tc>
            </w:tr>
          </w:tbl>
          <w:p w:rsidR="00B0743C" w:rsidRPr="0098294E" w:rsidRDefault="00B0743C" w:rsidP="0098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B0743C" w:rsidRPr="0098294E" w:rsidRDefault="00CF1A5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B0743C" w:rsidRPr="0098294E" w:rsidRDefault="00CF1A5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06" w:type="pct"/>
            <w:shd w:val="clear" w:color="auto" w:fill="auto"/>
            <w:noWrap/>
            <w:vAlign w:val="center"/>
            <w:hideMark/>
          </w:tcPr>
          <w:p w:rsidR="00B0743C" w:rsidRPr="0098294E" w:rsidRDefault="00CF1A5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22" w:type="pct"/>
            <w:shd w:val="clear" w:color="auto" w:fill="auto"/>
            <w:noWrap/>
            <w:vAlign w:val="center"/>
            <w:hideMark/>
          </w:tcPr>
          <w:p w:rsidR="00B0743C" w:rsidRPr="0098294E" w:rsidRDefault="00CF1A5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B0743C" w:rsidRPr="0098294E" w:rsidRDefault="00CF1A5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08" w:type="pct"/>
            <w:shd w:val="clear" w:color="auto" w:fill="auto"/>
            <w:noWrap/>
            <w:vAlign w:val="center"/>
            <w:hideMark/>
          </w:tcPr>
          <w:p w:rsidR="00B0743C" w:rsidRPr="0098294E" w:rsidRDefault="00CF1A51" w:rsidP="00B07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829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</w:tbl>
    <w:p w:rsidR="00735550" w:rsidRDefault="00735550" w:rsidP="002C4D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CDD" w:rsidRDefault="00306CDD" w:rsidP="0098294E">
      <w:pPr>
        <w:pStyle w:val="a3"/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06CDD">
        <w:rPr>
          <w:rFonts w:ascii="Times New Roman" w:hAnsi="Times New Roman" w:cs="Times New Roman"/>
          <w:sz w:val="28"/>
          <w:szCs w:val="28"/>
        </w:rPr>
        <w:t>Оцінка параметрів розподілу масштабів одиничного збитку</w:t>
      </w:r>
    </w:p>
    <w:p w:rsidR="00306CDD" w:rsidRPr="00306CDD" w:rsidRDefault="00306CDD" w:rsidP="009829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DD">
        <w:rPr>
          <w:rFonts w:ascii="Times New Roman" w:hAnsi="Times New Roman" w:cs="Times New Roman"/>
          <w:sz w:val="28"/>
          <w:szCs w:val="28"/>
        </w:rPr>
        <w:t xml:space="preserve">Оцінка параметрів функцій </w:t>
      </w:r>
      <w:r w:rsidR="0098294E">
        <w:rPr>
          <w:rFonts w:ascii="Times New Roman" w:hAnsi="Times New Roman" w:cs="Times New Roman"/>
          <w:sz w:val="28"/>
          <w:szCs w:val="28"/>
        </w:rPr>
        <w:t>не</w:t>
      </w:r>
      <w:r w:rsidRPr="00306CDD">
        <w:rPr>
          <w:rFonts w:ascii="Times New Roman" w:hAnsi="Times New Roman" w:cs="Times New Roman"/>
          <w:sz w:val="28"/>
          <w:szCs w:val="28"/>
        </w:rPr>
        <w:t xml:space="preserve">перервних розподілів проводилася методом моментів і методом максимальної правдоподібності. Потім проводилася перевірка гіпотез про вид розподілу і на підставі значень статистик критеріїв </w:t>
      </w:r>
      <w:r w:rsidR="005C332B">
        <w:rPr>
          <w:rFonts w:ascii="Times New Roman" w:hAnsi="Times New Roman" w:cs="Times New Roman"/>
          <w:sz w:val="28"/>
          <w:szCs w:val="28"/>
        </w:rPr>
        <w:t>обирається</w:t>
      </w:r>
      <w:r w:rsidRPr="00306CDD">
        <w:rPr>
          <w:rFonts w:ascii="Times New Roman" w:hAnsi="Times New Roman" w:cs="Times New Roman"/>
          <w:sz w:val="28"/>
          <w:szCs w:val="28"/>
        </w:rPr>
        <w:t xml:space="preserve"> розподіл</w:t>
      </w:r>
      <w:r w:rsidR="00355318">
        <w:rPr>
          <w:rFonts w:ascii="Times New Roman" w:hAnsi="Times New Roman" w:cs="Times New Roman"/>
          <w:sz w:val="28"/>
          <w:szCs w:val="28"/>
        </w:rPr>
        <w:t>, який</w:t>
      </w:r>
      <w:r w:rsidRPr="00306CDD">
        <w:rPr>
          <w:rFonts w:ascii="Times New Roman" w:hAnsi="Times New Roman" w:cs="Times New Roman"/>
          <w:sz w:val="28"/>
          <w:szCs w:val="28"/>
        </w:rPr>
        <w:t xml:space="preserve"> найкращим чином описує дані.</w:t>
      </w:r>
    </w:p>
    <w:p w:rsidR="00306CDD" w:rsidRDefault="00306CDD" w:rsidP="002C4D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DD">
        <w:rPr>
          <w:rFonts w:ascii="Times New Roman" w:hAnsi="Times New Roman" w:cs="Times New Roman"/>
          <w:sz w:val="28"/>
          <w:szCs w:val="28"/>
        </w:rPr>
        <w:t>Описова статистика по типа</w:t>
      </w:r>
      <w:r w:rsidR="0098294E">
        <w:rPr>
          <w:rFonts w:ascii="Times New Roman" w:hAnsi="Times New Roman" w:cs="Times New Roman"/>
          <w:sz w:val="28"/>
          <w:szCs w:val="28"/>
        </w:rPr>
        <w:t>х</w:t>
      </w:r>
      <w:r w:rsidRPr="00306CDD">
        <w:rPr>
          <w:rFonts w:ascii="Times New Roman" w:hAnsi="Times New Roman" w:cs="Times New Roman"/>
          <w:sz w:val="28"/>
          <w:szCs w:val="28"/>
        </w:rPr>
        <w:t xml:space="preserve"> подій операційного ризику </w:t>
      </w:r>
      <w:r w:rsidR="00795011">
        <w:rPr>
          <w:rFonts w:ascii="Times New Roman" w:hAnsi="Times New Roman" w:cs="Times New Roman"/>
          <w:sz w:val="28"/>
          <w:szCs w:val="28"/>
        </w:rPr>
        <w:t xml:space="preserve">наведена в </w:t>
      </w:r>
      <w:r w:rsidR="0098294E">
        <w:rPr>
          <w:rFonts w:ascii="Times New Roman" w:hAnsi="Times New Roman" w:cs="Times New Roman"/>
          <w:sz w:val="28"/>
          <w:szCs w:val="28"/>
        </w:rPr>
        <w:t xml:space="preserve">табл. </w:t>
      </w:r>
      <w:r w:rsidR="00CC77E8">
        <w:rPr>
          <w:rFonts w:ascii="Times New Roman" w:hAnsi="Times New Roman" w:cs="Times New Roman"/>
          <w:sz w:val="28"/>
          <w:szCs w:val="28"/>
        </w:rPr>
        <w:t>8</w:t>
      </w:r>
      <w:r w:rsidRPr="00306CDD">
        <w:rPr>
          <w:rFonts w:ascii="Times New Roman" w:hAnsi="Times New Roman" w:cs="Times New Roman"/>
          <w:sz w:val="28"/>
          <w:szCs w:val="28"/>
        </w:rPr>
        <w:t>.</w:t>
      </w:r>
    </w:p>
    <w:p w:rsidR="00CC77E8" w:rsidRPr="00CC77E8" w:rsidRDefault="00795011" w:rsidP="002C4D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CC77E8">
        <w:rPr>
          <w:rFonts w:ascii="Times New Roman" w:hAnsi="Times New Roman" w:cs="Times New Roman"/>
          <w:sz w:val="28"/>
          <w:szCs w:val="28"/>
        </w:rPr>
        <w:t>8</w:t>
      </w:r>
    </w:p>
    <w:p w:rsidR="00CC77E8" w:rsidRDefault="00CC77E8" w:rsidP="002C4D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77E8">
        <w:rPr>
          <w:rFonts w:ascii="Times New Roman" w:hAnsi="Times New Roman" w:cs="Times New Roman"/>
          <w:sz w:val="28"/>
          <w:szCs w:val="28"/>
        </w:rPr>
        <w:t xml:space="preserve">Описова статистика за одиничними </w:t>
      </w:r>
      <w:r w:rsidR="006E4B36">
        <w:rPr>
          <w:rFonts w:ascii="Times New Roman" w:hAnsi="Times New Roman" w:cs="Times New Roman"/>
          <w:sz w:val="28"/>
          <w:szCs w:val="28"/>
        </w:rPr>
        <w:t>втрат</w:t>
      </w:r>
      <w:r w:rsidR="00D3391D">
        <w:rPr>
          <w:rFonts w:ascii="Times New Roman" w:hAnsi="Times New Roman" w:cs="Times New Roman"/>
          <w:sz w:val="28"/>
          <w:szCs w:val="28"/>
        </w:rPr>
        <w:t>ами</w:t>
      </w:r>
      <w:r w:rsidRPr="00CC77E8">
        <w:rPr>
          <w:rFonts w:ascii="Times New Roman" w:hAnsi="Times New Roman" w:cs="Times New Roman"/>
          <w:sz w:val="28"/>
          <w:szCs w:val="28"/>
        </w:rPr>
        <w:t xml:space="preserve"> в розрізі типів ризику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756"/>
        <w:gridCol w:w="1287"/>
        <w:gridCol w:w="1286"/>
        <w:gridCol w:w="1286"/>
        <w:gridCol w:w="1286"/>
        <w:gridCol w:w="1286"/>
        <w:gridCol w:w="1258"/>
      </w:tblGrid>
      <w:tr w:rsidR="00CC77E8" w:rsidRPr="00903F3D" w:rsidTr="00903F3D">
        <w:trPr>
          <w:trHeight w:val="284"/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03F3D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03F3D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795011"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03F3D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795011"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03F3D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795011"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03F3D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795011"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03F3D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795011"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03F3D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795011" w:rsidRPr="00903F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F1A51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F1A51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F1A51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F1A51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F1A51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F1A51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Середнє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3 156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3 943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Відхилення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10 886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21 651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Медіана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Асиметрія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Ексцес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</w:t>
            </w:r>
          </w:p>
        </w:tc>
      </w:tr>
      <w:tr w:rsidR="00CC77E8" w:rsidRPr="00903F3D" w:rsidTr="00903F3D">
        <w:trPr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CC77E8" w:rsidRPr="00903F3D" w:rsidRDefault="00253A2D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0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Перс</w:t>
            </w:r>
            <w:r w:rsidR="00CC77E8" w:rsidRPr="00903F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ентиль</w:t>
            </w:r>
            <w:proofErr w:type="spellEnd"/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0,5%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4 935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2 531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12 750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4 284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8 230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46 556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78 459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vMerge w:val="restart"/>
            <w:shd w:val="clear" w:color="auto" w:fill="auto"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Діапазон N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-4 361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-3 749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-1 494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-731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-24 885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-51 827</w:t>
            </w:r>
          </w:p>
        </w:tc>
      </w:tr>
      <w:tr w:rsidR="00CC77E8" w:rsidRPr="0098294E" w:rsidTr="00903F3D">
        <w:trPr>
          <w:jc w:val="center"/>
        </w:trPr>
        <w:tc>
          <w:tcPr>
            <w:tcW w:w="929" w:type="pct"/>
            <w:vMerge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31 197</w:t>
            </w:r>
          </w:p>
        </w:tc>
        <w:tc>
          <w:tcPr>
            <w:tcW w:w="668" w:type="pct"/>
            <w:shd w:val="clear" w:color="auto" w:fill="auto"/>
            <w:noWrap/>
            <w:vAlign w:val="center"/>
            <w:hideMark/>
          </w:tcPr>
          <w:p w:rsidR="00CC77E8" w:rsidRPr="0098294E" w:rsidRDefault="00CC77E8" w:rsidP="00903F3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59 714</w:t>
            </w:r>
          </w:p>
        </w:tc>
      </w:tr>
    </w:tbl>
    <w:p w:rsidR="001B0D24" w:rsidRDefault="001B0D24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7E8" w:rsidRPr="002C4D10" w:rsidRDefault="00CC77E8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10">
        <w:rPr>
          <w:rFonts w:ascii="Times New Roman" w:hAnsi="Times New Roman" w:cs="Times New Roman"/>
          <w:sz w:val="28"/>
          <w:szCs w:val="28"/>
        </w:rPr>
        <w:t>Високі значення показника ексцес</w:t>
      </w:r>
      <w:r w:rsidR="00903F3D">
        <w:rPr>
          <w:rFonts w:ascii="Times New Roman" w:hAnsi="Times New Roman" w:cs="Times New Roman"/>
          <w:sz w:val="28"/>
          <w:szCs w:val="28"/>
        </w:rPr>
        <w:t>у</w:t>
      </w:r>
      <w:r w:rsidRPr="002C4D10">
        <w:rPr>
          <w:rFonts w:ascii="Times New Roman" w:hAnsi="Times New Roman" w:cs="Times New Roman"/>
          <w:sz w:val="28"/>
          <w:szCs w:val="28"/>
        </w:rPr>
        <w:t xml:space="preserve"> розподіл</w:t>
      </w:r>
      <w:r w:rsidR="00903F3D">
        <w:rPr>
          <w:rFonts w:ascii="Times New Roman" w:hAnsi="Times New Roman" w:cs="Times New Roman"/>
          <w:sz w:val="28"/>
          <w:szCs w:val="28"/>
        </w:rPr>
        <w:t>у</w:t>
      </w:r>
      <w:r w:rsidRPr="002C4D10">
        <w:rPr>
          <w:rFonts w:ascii="Times New Roman" w:hAnsi="Times New Roman" w:cs="Times New Roman"/>
          <w:sz w:val="28"/>
          <w:szCs w:val="28"/>
        </w:rPr>
        <w:t xml:space="preserve"> (до 122,8) свід</w:t>
      </w:r>
      <w:r w:rsidR="00253A2D" w:rsidRPr="002C4D10">
        <w:rPr>
          <w:rFonts w:ascii="Times New Roman" w:hAnsi="Times New Roman" w:cs="Times New Roman"/>
          <w:sz w:val="28"/>
          <w:szCs w:val="28"/>
        </w:rPr>
        <w:t xml:space="preserve">чать про наявність великої </w:t>
      </w:r>
      <w:r w:rsidR="00903F3D" w:rsidRPr="002C4D10">
        <w:rPr>
          <w:rFonts w:ascii="Times New Roman" w:hAnsi="Times New Roman" w:cs="Times New Roman"/>
          <w:sz w:val="28"/>
          <w:szCs w:val="28"/>
        </w:rPr>
        <w:t>кількості</w:t>
      </w:r>
      <w:r w:rsidR="00253A2D" w:rsidRPr="002C4D10">
        <w:rPr>
          <w:rFonts w:ascii="Times New Roman" w:hAnsi="Times New Roman" w:cs="Times New Roman"/>
          <w:sz w:val="28"/>
          <w:szCs w:val="28"/>
        </w:rPr>
        <w:t xml:space="preserve"> </w:t>
      </w:r>
      <w:r w:rsidRPr="002C4D10">
        <w:rPr>
          <w:rFonts w:ascii="Times New Roman" w:hAnsi="Times New Roman" w:cs="Times New Roman"/>
          <w:sz w:val="28"/>
          <w:szCs w:val="28"/>
        </w:rPr>
        <w:t xml:space="preserve">спостережень, що значно відрізняються від середніх значень. </w:t>
      </w:r>
      <w:r w:rsidR="00903F3D">
        <w:rPr>
          <w:rFonts w:ascii="Times New Roman" w:hAnsi="Times New Roman" w:cs="Times New Roman"/>
          <w:sz w:val="28"/>
          <w:szCs w:val="28"/>
        </w:rPr>
        <w:t>Додатні</w:t>
      </w:r>
      <w:r w:rsidRPr="002C4D10">
        <w:rPr>
          <w:rFonts w:ascii="Times New Roman" w:hAnsi="Times New Roman" w:cs="Times New Roman"/>
          <w:sz w:val="28"/>
          <w:szCs w:val="28"/>
        </w:rPr>
        <w:t xml:space="preserve"> значення показників асиметрії розподілів свідчать про те, що екстремальні значення (що відрізняються від середнього) </w:t>
      </w:r>
      <w:r w:rsidR="00903F3D">
        <w:rPr>
          <w:rFonts w:ascii="Times New Roman" w:hAnsi="Times New Roman" w:cs="Times New Roman"/>
          <w:sz w:val="28"/>
          <w:szCs w:val="28"/>
        </w:rPr>
        <w:t xml:space="preserve">знаходяться </w:t>
      </w:r>
      <w:r w:rsidRPr="002C4D10">
        <w:rPr>
          <w:rFonts w:ascii="Times New Roman" w:hAnsi="Times New Roman" w:cs="Times New Roman"/>
          <w:sz w:val="28"/>
          <w:szCs w:val="28"/>
        </w:rPr>
        <w:t>в основному в правому «хвості» розподілів. Діапазони, що містять 99% спостережень, істотно відрізняються від діапазонів, відповідних но</w:t>
      </w:r>
      <w:r w:rsidR="00253A2D" w:rsidRPr="002C4D10">
        <w:rPr>
          <w:rFonts w:ascii="Times New Roman" w:hAnsi="Times New Roman" w:cs="Times New Roman"/>
          <w:sz w:val="28"/>
          <w:szCs w:val="28"/>
        </w:rPr>
        <w:t>рмальному розподілу - вони ширші</w:t>
      </w:r>
      <w:r w:rsidRPr="002C4D10">
        <w:rPr>
          <w:rFonts w:ascii="Times New Roman" w:hAnsi="Times New Roman" w:cs="Times New Roman"/>
          <w:sz w:val="28"/>
          <w:szCs w:val="28"/>
        </w:rPr>
        <w:t xml:space="preserve"> і зміщені вправо. Все це свідчить про наявність важких «хвостів» розподілів. Оскільки «викиди» в разі моделювання операційного ризику є корисним джерелом інформації про екстремальні можливі збитки, </w:t>
      </w:r>
      <w:r w:rsidR="00253A2D" w:rsidRPr="002C4D10">
        <w:rPr>
          <w:rFonts w:ascii="Times New Roman" w:hAnsi="Times New Roman" w:cs="Times New Roman"/>
          <w:sz w:val="28"/>
          <w:szCs w:val="28"/>
        </w:rPr>
        <w:t xml:space="preserve">то </w:t>
      </w:r>
      <w:r w:rsidRPr="002C4D10">
        <w:rPr>
          <w:rFonts w:ascii="Times New Roman" w:hAnsi="Times New Roman" w:cs="Times New Roman"/>
          <w:sz w:val="28"/>
          <w:szCs w:val="28"/>
        </w:rPr>
        <w:t xml:space="preserve">їх видалення приведе до спотворення даних. Отже, для </w:t>
      </w:r>
      <w:r w:rsidR="00D3391D" w:rsidRPr="002C4D10">
        <w:rPr>
          <w:rFonts w:ascii="Times New Roman" w:hAnsi="Times New Roman" w:cs="Times New Roman"/>
          <w:sz w:val="28"/>
          <w:szCs w:val="28"/>
        </w:rPr>
        <w:t>обчислення капіталу</w:t>
      </w:r>
      <w:r w:rsidRPr="002C4D10">
        <w:rPr>
          <w:rFonts w:ascii="Times New Roman" w:hAnsi="Times New Roman" w:cs="Times New Roman"/>
          <w:sz w:val="28"/>
          <w:szCs w:val="28"/>
        </w:rPr>
        <w:t xml:space="preserve"> необхідно підбирати теор</w:t>
      </w:r>
      <w:r w:rsidR="00D3391D" w:rsidRPr="002C4D10">
        <w:rPr>
          <w:rFonts w:ascii="Times New Roman" w:hAnsi="Times New Roman" w:cs="Times New Roman"/>
          <w:sz w:val="28"/>
          <w:szCs w:val="28"/>
        </w:rPr>
        <w:t>етичні розподіли</w:t>
      </w:r>
      <w:r w:rsidRPr="002C4D10">
        <w:rPr>
          <w:rFonts w:ascii="Times New Roman" w:hAnsi="Times New Roman" w:cs="Times New Roman"/>
          <w:sz w:val="28"/>
          <w:szCs w:val="28"/>
        </w:rPr>
        <w:t>,</w:t>
      </w:r>
      <w:r w:rsidR="00D3391D" w:rsidRPr="002C4D10">
        <w:rPr>
          <w:rFonts w:ascii="Times New Roman" w:hAnsi="Times New Roman" w:cs="Times New Roman"/>
          <w:sz w:val="28"/>
          <w:szCs w:val="28"/>
        </w:rPr>
        <w:t xml:space="preserve"> що</w:t>
      </w:r>
      <w:r w:rsidRPr="002C4D10">
        <w:rPr>
          <w:rFonts w:ascii="Times New Roman" w:hAnsi="Times New Roman" w:cs="Times New Roman"/>
          <w:sz w:val="28"/>
          <w:szCs w:val="28"/>
        </w:rPr>
        <w:t xml:space="preserve"> найкращим чином описують емпіричні дані з важкими правими «хвостами». </w:t>
      </w:r>
    </w:p>
    <w:p w:rsidR="00CC77E8" w:rsidRPr="002C4D10" w:rsidRDefault="00CC77E8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10">
        <w:rPr>
          <w:rFonts w:ascii="Times New Roman" w:hAnsi="Times New Roman" w:cs="Times New Roman"/>
          <w:sz w:val="28"/>
          <w:szCs w:val="28"/>
        </w:rPr>
        <w:t>Після оцінки параметрів розподілів, необхідно здійснити процедуру перевірки гіпотез про вид розподілу за допомогою трьох крите</w:t>
      </w:r>
      <w:r w:rsidR="00F63E51" w:rsidRPr="002C4D10">
        <w:rPr>
          <w:rFonts w:ascii="Times New Roman" w:hAnsi="Times New Roman" w:cs="Times New Roman"/>
          <w:sz w:val="28"/>
          <w:szCs w:val="28"/>
        </w:rPr>
        <w:t>ріїв згоди</w:t>
      </w:r>
      <w:r w:rsidRPr="002C4D10">
        <w:rPr>
          <w:rFonts w:ascii="Times New Roman" w:hAnsi="Times New Roman" w:cs="Times New Roman"/>
          <w:sz w:val="28"/>
          <w:szCs w:val="28"/>
        </w:rPr>
        <w:t xml:space="preserve">: критерій </w:t>
      </w:r>
      <w:proofErr w:type="spellStart"/>
      <w:r w:rsidRPr="002C4D10">
        <w:rPr>
          <w:rFonts w:ascii="Times New Roman" w:hAnsi="Times New Roman" w:cs="Times New Roman"/>
          <w:sz w:val="28"/>
          <w:szCs w:val="28"/>
        </w:rPr>
        <w:t>Колмогорова-Смирнова</w:t>
      </w:r>
      <w:proofErr w:type="spellEnd"/>
      <w:r w:rsidRPr="002C4D10">
        <w:rPr>
          <w:rFonts w:ascii="Times New Roman" w:hAnsi="Times New Roman" w:cs="Times New Roman"/>
          <w:sz w:val="28"/>
          <w:szCs w:val="28"/>
        </w:rPr>
        <w:t xml:space="preserve">, критерій </w:t>
      </w:r>
      <w:proofErr w:type="spellStart"/>
      <w:r w:rsidRPr="002C4D10">
        <w:rPr>
          <w:rFonts w:ascii="Times New Roman" w:hAnsi="Times New Roman" w:cs="Times New Roman"/>
          <w:sz w:val="28"/>
          <w:szCs w:val="28"/>
        </w:rPr>
        <w:t>Андерсона-Дарлінга</w:t>
      </w:r>
      <w:proofErr w:type="spellEnd"/>
      <w:r w:rsidRPr="002C4D10">
        <w:rPr>
          <w:rFonts w:ascii="Times New Roman" w:hAnsi="Times New Roman" w:cs="Times New Roman"/>
          <w:sz w:val="28"/>
          <w:szCs w:val="28"/>
        </w:rPr>
        <w:t xml:space="preserve"> і критерій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χ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2C4D10">
        <w:rPr>
          <w:rFonts w:ascii="Times New Roman" w:hAnsi="Times New Roman" w:cs="Times New Roman"/>
          <w:sz w:val="28"/>
          <w:szCs w:val="28"/>
        </w:rPr>
        <w:t>.</w:t>
      </w:r>
    </w:p>
    <w:p w:rsidR="00CC77E8" w:rsidRPr="002C4D10" w:rsidRDefault="005C332B" w:rsidP="00903F3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4D10">
        <w:rPr>
          <w:rFonts w:ascii="Times New Roman" w:hAnsi="Times New Roman" w:cs="Times New Roman"/>
          <w:i/>
          <w:sz w:val="28"/>
          <w:szCs w:val="28"/>
        </w:rPr>
        <w:t>Отримання оцінок параметрів функцій розподілу сумарних втрат за окремими бізнес-одиницям</w:t>
      </w:r>
      <w:r w:rsidR="00392CE5" w:rsidRPr="002C4D10">
        <w:rPr>
          <w:rFonts w:ascii="Times New Roman" w:hAnsi="Times New Roman" w:cs="Times New Roman"/>
          <w:i/>
          <w:sz w:val="28"/>
          <w:szCs w:val="28"/>
        </w:rPr>
        <w:t>и</w:t>
      </w:r>
      <w:r w:rsidRPr="002C4D10">
        <w:rPr>
          <w:rFonts w:ascii="Times New Roman" w:hAnsi="Times New Roman" w:cs="Times New Roman"/>
          <w:i/>
          <w:sz w:val="28"/>
          <w:szCs w:val="28"/>
        </w:rPr>
        <w:t xml:space="preserve"> і банку в цілому.</w:t>
      </w:r>
    </w:p>
    <w:p w:rsidR="005C332B" w:rsidRPr="002C4D10" w:rsidRDefault="005C332B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10">
        <w:rPr>
          <w:rFonts w:ascii="Times New Roman" w:hAnsi="Times New Roman" w:cs="Times New Roman"/>
          <w:sz w:val="28"/>
          <w:szCs w:val="28"/>
        </w:rPr>
        <w:t>Отримання оцінок параметрів функцій розподілів сумарних збитків від реалізації подій операційного ризику по бізнес-одиниця</w:t>
      </w:r>
      <w:r w:rsidR="00903F3D">
        <w:rPr>
          <w:rFonts w:ascii="Times New Roman" w:hAnsi="Times New Roman" w:cs="Times New Roman"/>
          <w:sz w:val="28"/>
          <w:szCs w:val="28"/>
        </w:rPr>
        <w:t>х</w:t>
      </w:r>
      <w:r w:rsidRPr="002C4D10">
        <w:rPr>
          <w:rFonts w:ascii="Times New Roman" w:hAnsi="Times New Roman" w:cs="Times New Roman"/>
          <w:sz w:val="28"/>
          <w:szCs w:val="28"/>
        </w:rPr>
        <w:t xml:space="preserve"> і по банку в цілому ґрунтується на проведенні симуляцій Монте-Карло.</w:t>
      </w:r>
    </w:p>
    <w:p w:rsidR="005C332B" w:rsidRPr="002C4D10" w:rsidRDefault="005C332B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10">
        <w:rPr>
          <w:rFonts w:ascii="Times New Roman" w:hAnsi="Times New Roman" w:cs="Times New Roman"/>
          <w:sz w:val="28"/>
          <w:szCs w:val="28"/>
        </w:rPr>
        <w:lastRenderedPageBreak/>
        <w:t xml:space="preserve">Кореляційні матриці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3×3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sup>
        </m:sSubSup>
      </m:oMath>
      <w:r w:rsidR="00903F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C4D10">
        <w:rPr>
          <w:rFonts w:ascii="Times New Roman" w:hAnsi="Times New Roman" w:cs="Times New Roman"/>
          <w:sz w:val="28"/>
          <w:szCs w:val="28"/>
        </w:rPr>
        <w:t>для к</w:t>
      </w:r>
      <w:r w:rsidR="005C17C9" w:rsidRPr="002C4D10">
        <w:rPr>
          <w:rFonts w:ascii="Times New Roman" w:hAnsi="Times New Roman" w:cs="Times New Roman"/>
          <w:sz w:val="28"/>
          <w:szCs w:val="28"/>
        </w:rPr>
        <w:t>ожної бізнес-одиниці оцінюються</w:t>
      </w:r>
      <w:r w:rsidRPr="002C4D10">
        <w:rPr>
          <w:rFonts w:ascii="Times New Roman" w:hAnsi="Times New Roman" w:cs="Times New Roman"/>
          <w:sz w:val="28"/>
          <w:szCs w:val="28"/>
        </w:rPr>
        <w:t xml:space="preserve"> за допомогою стандартної формули знаходження коефіцієнтів кореляції. Кореляційні матриці для бізнес-одиниць представлен</w:t>
      </w:r>
      <w:r w:rsidR="00795011">
        <w:rPr>
          <w:rFonts w:ascii="Times New Roman" w:hAnsi="Times New Roman" w:cs="Times New Roman"/>
          <w:sz w:val="28"/>
          <w:szCs w:val="28"/>
        </w:rPr>
        <w:t>і виразами (1), (</w:t>
      </w:r>
      <w:r w:rsidRPr="002C4D10">
        <w:rPr>
          <w:rFonts w:ascii="Times New Roman" w:hAnsi="Times New Roman" w:cs="Times New Roman"/>
          <w:sz w:val="28"/>
          <w:szCs w:val="28"/>
        </w:rPr>
        <w:t>2).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660"/>
        <w:gridCol w:w="910"/>
      </w:tblGrid>
      <w:tr w:rsidR="005C332B" w:rsidRPr="00004F9A" w:rsidTr="005C332B">
        <w:tc>
          <w:tcPr>
            <w:tcW w:w="8928" w:type="dxa"/>
          </w:tcPr>
          <w:p w:rsidR="005C332B" w:rsidRPr="009623E5" w:rsidRDefault="00A70BB3" w:rsidP="005C332B">
            <w:pPr>
              <w:spacing w:before="240" w:after="240" w:line="360" w:lineRule="auto"/>
              <w:jc w:val="center"/>
              <w:rPr>
                <w:i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3×3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0.70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0.35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0.70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0.27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0.35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0.27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</m:mr>
                </m:m>
              </m:oMath>
            </m:oMathPara>
          </w:p>
        </w:tc>
        <w:tc>
          <w:tcPr>
            <w:tcW w:w="926" w:type="dxa"/>
            <w:vAlign w:val="center"/>
          </w:tcPr>
          <w:p w:rsidR="005C332B" w:rsidRPr="00004F9A" w:rsidRDefault="005C332B" w:rsidP="00795011">
            <w:pPr>
              <w:spacing w:before="24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bookmarkStart w:id="1" w:name="_Ref378172575"/>
            <w:r w:rsidRPr="000D259A">
              <w:rPr>
                <w:sz w:val="28"/>
                <w:szCs w:val="28"/>
              </w:rPr>
              <w:t>(</w:t>
            </w:r>
            <w:fldSimple w:instr=" SEQ Формула \* ARABIC \s 1 \* MERGEFORMAT ">
              <w:r>
                <w:rPr>
                  <w:noProof/>
                  <w:sz w:val="28"/>
                  <w:szCs w:val="28"/>
                </w:rPr>
                <w:t>1</w:t>
              </w:r>
            </w:fldSimple>
            <w:r w:rsidRPr="00004F9A">
              <w:rPr>
                <w:sz w:val="28"/>
                <w:szCs w:val="28"/>
                <w:lang w:val="en-US"/>
              </w:rPr>
              <w:t>)</w:t>
            </w:r>
            <w:bookmarkEnd w:id="1"/>
          </w:p>
        </w:tc>
      </w:tr>
      <w:tr w:rsidR="005C332B" w:rsidRPr="00004F9A" w:rsidTr="005C332B">
        <w:tc>
          <w:tcPr>
            <w:tcW w:w="8928" w:type="dxa"/>
          </w:tcPr>
          <w:p w:rsidR="005C332B" w:rsidRPr="009623E5" w:rsidRDefault="00A70BB3" w:rsidP="005C332B">
            <w:pPr>
              <w:spacing w:before="240" w:after="240" w:line="360" w:lineRule="auto"/>
              <w:jc w:val="center"/>
              <w:rPr>
                <w:i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3×3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0.67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0.02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0.67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0.39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0.02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0.39</m:t>
                      </m:r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e>
                  </m:mr>
                </m:m>
              </m:oMath>
            </m:oMathPara>
          </w:p>
        </w:tc>
        <w:tc>
          <w:tcPr>
            <w:tcW w:w="926" w:type="dxa"/>
            <w:vAlign w:val="center"/>
          </w:tcPr>
          <w:p w:rsidR="005C332B" w:rsidRPr="00004F9A" w:rsidRDefault="005C332B" w:rsidP="00795011">
            <w:pPr>
              <w:spacing w:before="24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bookmarkStart w:id="2" w:name="_Ref378172578"/>
            <w:r w:rsidRPr="000D259A">
              <w:rPr>
                <w:sz w:val="28"/>
                <w:szCs w:val="28"/>
              </w:rPr>
              <w:t>(</w:t>
            </w:r>
            <w:fldSimple w:instr=" SEQ Формула \* ARABIC \s 1 \* MERGEFORMAT ">
              <w:r>
                <w:rPr>
                  <w:noProof/>
                  <w:sz w:val="28"/>
                  <w:szCs w:val="28"/>
                </w:rPr>
                <w:t>2</w:t>
              </w:r>
            </w:fldSimple>
            <w:r w:rsidRPr="00004F9A">
              <w:rPr>
                <w:sz w:val="28"/>
                <w:szCs w:val="28"/>
                <w:lang w:val="en-US"/>
              </w:rPr>
              <w:t>)</w:t>
            </w:r>
            <w:bookmarkEnd w:id="2"/>
          </w:p>
        </w:tc>
      </w:tr>
    </w:tbl>
    <w:p w:rsidR="005C17C9" w:rsidRPr="005C17C9" w:rsidRDefault="00795011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видно з (1), (</w:t>
      </w:r>
      <w:r w:rsidR="005C17C9">
        <w:rPr>
          <w:rFonts w:ascii="Times New Roman" w:hAnsi="Times New Roman" w:cs="Times New Roman"/>
          <w:sz w:val="28"/>
          <w:szCs w:val="28"/>
        </w:rPr>
        <w:t>2)</w:t>
      </w:r>
      <w:r w:rsidR="005C17C9" w:rsidRPr="005C17C9">
        <w:rPr>
          <w:rFonts w:ascii="Times New Roman" w:hAnsi="Times New Roman" w:cs="Times New Roman"/>
          <w:sz w:val="28"/>
          <w:szCs w:val="28"/>
        </w:rPr>
        <w:t xml:space="preserve"> частоти подій першого і другого типу виявля</w:t>
      </w:r>
      <w:r w:rsidR="005C17C9">
        <w:rPr>
          <w:rFonts w:ascii="Times New Roman" w:hAnsi="Times New Roman" w:cs="Times New Roman"/>
          <w:sz w:val="28"/>
          <w:szCs w:val="28"/>
        </w:rPr>
        <w:t>ють високий позитивний</w:t>
      </w:r>
      <w:r w:rsidR="005C17C9" w:rsidRPr="005C17C9">
        <w:rPr>
          <w:rFonts w:ascii="Times New Roman" w:hAnsi="Times New Roman" w:cs="Times New Roman"/>
          <w:sz w:val="28"/>
          <w:szCs w:val="28"/>
        </w:rPr>
        <w:t xml:space="preserve"> взаємозв'язок (коефіцієнт кореляції </w:t>
      </w:r>
      <w:r w:rsidR="005C17C9">
        <w:rPr>
          <w:rFonts w:ascii="Times New Roman" w:hAnsi="Times New Roman" w:cs="Times New Roman"/>
          <w:sz w:val="28"/>
          <w:szCs w:val="28"/>
        </w:rPr>
        <w:t>~</w:t>
      </w:r>
      <w:r w:rsidR="005C17C9" w:rsidRPr="005C17C9">
        <w:rPr>
          <w:rFonts w:ascii="Times New Roman" w:hAnsi="Times New Roman" w:cs="Times New Roman"/>
          <w:sz w:val="28"/>
          <w:szCs w:val="28"/>
        </w:rPr>
        <w:t xml:space="preserve"> 0,7).</w:t>
      </w:r>
    </w:p>
    <w:p w:rsidR="005C332B" w:rsidRDefault="005C17C9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7C9">
        <w:rPr>
          <w:rFonts w:ascii="Times New Roman" w:hAnsi="Times New Roman" w:cs="Times New Roman"/>
          <w:sz w:val="28"/>
          <w:szCs w:val="28"/>
        </w:rPr>
        <w:t xml:space="preserve">Вектори </w:t>
      </w:r>
      <w:proofErr w:type="spellStart"/>
      <w:r w:rsidRPr="005C17C9">
        <w:rPr>
          <w:rFonts w:ascii="Times New Roman" w:hAnsi="Times New Roman" w:cs="Times New Roman"/>
          <w:sz w:val="28"/>
          <w:szCs w:val="28"/>
        </w:rPr>
        <w:t>інтенсивностей</w:t>
      </w:r>
      <w:proofErr w:type="spellEnd"/>
      <w:r w:rsidRPr="005C17C9">
        <w:rPr>
          <w:rFonts w:ascii="Times New Roman" w:hAnsi="Times New Roman" w:cs="Times New Roman"/>
          <w:sz w:val="28"/>
          <w:szCs w:val="28"/>
        </w:rPr>
        <w:t xml:space="preserve"> отримані шляхом оцінки середньорічних значень кількості виникаючих випадків в бізнес-одиницях (Таблиц</w:t>
      </w:r>
      <w:r w:rsidR="00795011">
        <w:rPr>
          <w:rFonts w:ascii="Times New Roman" w:hAnsi="Times New Roman" w:cs="Times New Roman"/>
          <w:sz w:val="28"/>
          <w:szCs w:val="28"/>
        </w:rPr>
        <w:t xml:space="preserve">я </w:t>
      </w:r>
      <w:r w:rsidR="00D6517B">
        <w:rPr>
          <w:rFonts w:ascii="Times New Roman" w:hAnsi="Times New Roman" w:cs="Times New Roman"/>
          <w:sz w:val="28"/>
          <w:szCs w:val="28"/>
        </w:rPr>
        <w:t>7</w:t>
      </w:r>
      <w:r w:rsidR="00795011">
        <w:rPr>
          <w:rFonts w:ascii="Times New Roman" w:hAnsi="Times New Roman" w:cs="Times New Roman"/>
          <w:sz w:val="28"/>
          <w:szCs w:val="28"/>
        </w:rPr>
        <w:t>) і представлені виразами (3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C17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659"/>
        <w:gridCol w:w="911"/>
      </w:tblGrid>
      <w:tr w:rsidR="00D707B6" w:rsidRPr="00004F9A" w:rsidTr="002B0A76">
        <w:tc>
          <w:tcPr>
            <w:tcW w:w="8928" w:type="dxa"/>
          </w:tcPr>
          <w:p w:rsidR="00D707B6" w:rsidRPr="002E7D10" w:rsidRDefault="00A70BB3" w:rsidP="00D707B6">
            <w:pPr>
              <w:spacing w:before="240" w:after="240" w:line="360" w:lineRule="auto"/>
              <w:jc w:val="center"/>
              <w:rPr>
                <w:i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3×1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e>
                </m:mr>
              </m: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 xml:space="preserve">             Λ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3×1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e>
                </m:mr>
              </m: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</m:t>
              </m:r>
            </m:oMath>
            <w:r w:rsidR="00D707B6"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926" w:type="dxa"/>
            <w:vAlign w:val="center"/>
          </w:tcPr>
          <w:p w:rsidR="00D707B6" w:rsidRPr="00004F9A" w:rsidRDefault="00D707B6" w:rsidP="00795011">
            <w:pPr>
              <w:spacing w:before="240" w:after="120" w:line="360" w:lineRule="auto"/>
              <w:jc w:val="center"/>
              <w:rPr>
                <w:sz w:val="28"/>
                <w:szCs w:val="28"/>
                <w:lang w:val="en-US"/>
              </w:rPr>
            </w:pPr>
            <w:bookmarkStart w:id="3" w:name="_Ref378172712"/>
            <w:r w:rsidRPr="000D259A">
              <w:rPr>
                <w:sz w:val="28"/>
                <w:szCs w:val="28"/>
              </w:rPr>
              <w:t>(</w:t>
            </w:r>
            <w:r w:rsidR="00795011">
              <w:rPr>
                <w:sz w:val="28"/>
                <w:szCs w:val="28"/>
              </w:rPr>
              <w:t>3</w:t>
            </w:r>
            <w:r w:rsidRPr="00004F9A">
              <w:rPr>
                <w:sz w:val="28"/>
                <w:szCs w:val="28"/>
                <w:lang w:val="en-US"/>
              </w:rPr>
              <w:t>)</w:t>
            </w:r>
            <w:bookmarkEnd w:id="3"/>
          </w:p>
        </w:tc>
      </w:tr>
    </w:tbl>
    <w:p w:rsidR="00875D25" w:rsidRDefault="00D6517B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7B">
        <w:rPr>
          <w:rFonts w:ascii="Times New Roman" w:hAnsi="Times New Roman" w:cs="Times New Roman"/>
          <w:sz w:val="28"/>
          <w:szCs w:val="28"/>
        </w:rPr>
        <w:t xml:space="preserve">Поточний рейтинг кредитоспроможності </w:t>
      </w:r>
      <w:r w:rsidR="00795011">
        <w:rPr>
          <w:rFonts w:ascii="Times New Roman" w:hAnsi="Times New Roman" w:cs="Times New Roman"/>
          <w:sz w:val="28"/>
          <w:szCs w:val="28"/>
        </w:rPr>
        <w:t>банку</w:t>
      </w:r>
      <w:r w:rsidR="009F1073">
        <w:rPr>
          <w:rFonts w:ascii="Times New Roman" w:hAnsi="Times New Roman" w:cs="Times New Roman"/>
          <w:sz w:val="28"/>
          <w:szCs w:val="28"/>
        </w:rPr>
        <w:t xml:space="preserve"> за шкалою S&amp;P дорівнює </w:t>
      </w:r>
      <w:r w:rsidR="00903F3D">
        <w:rPr>
          <w:rFonts w:ascii="Times New Roman" w:hAnsi="Times New Roman" w:cs="Times New Roman"/>
          <w:sz w:val="28"/>
          <w:szCs w:val="28"/>
        </w:rPr>
        <w:t xml:space="preserve">рейтингу </w:t>
      </w:r>
      <w:r w:rsidR="009F1073">
        <w:rPr>
          <w:rFonts w:ascii="Times New Roman" w:hAnsi="Times New Roman" w:cs="Times New Roman"/>
          <w:sz w:val="28"/>
          <w:szCs w:val="28"/>
        </w:rPr>
        <w:t>BBB</w:t>
      </w:r>
      <w:r w:rsidR="00903F3D">
        <w:rPr>
          <w:rFonts w:ascii="Times New Roman" w:hAnsi="Times New Roman" w:cs="Times New Roman"/>
          <w:sz w:val="28"/>
          <w:szCs w:val="28"/>
        </w:rPr>
        <w:t xml:space="preserve"> (табл. 9)</w:t>
      </w:r>
      <w:r w:rsidRPr="00D6517B">
        <w:rPr>
          <w:rFonts w:ascii="Times New Roman" w:hAnsi="Times New Roman" w:cs="Times New Roman"/>
          <w:sz w:val="28"/>
          <w:szCs w:val="28"/>
        </w:rPr>
        <w:t xml:space="preserve">, </w:t>
      </w:r>
      <w:r w:rsidR="00903F3D">
        <w:rPr>
          <w:rFonts w:ascii="Times New Roman" w:hAnsi="Times New Roman" w:cs="Times New Roman"/>
          <w:sz w:val="28"/>
          <w:szCs w:val="28"/>
        </w:rPr>
        <w:t xml:space="preserve">і </w:t>
      </w:r>
      <w:r w:rsidRPr="00D6517B">
        <w:rPr>
          <w:rFonts w:ascii="Times New Roman" w:hAnsi="Times New Roman" w:cs="Times New Roman"/>
          <w:sz w:val="28"/>
          <w:szCs w:val="28"/>
        </w:rPr>
        <w:t>відпов</w:t>
      </w:r>
      <w:r w:rsidR="00D050D5">
        <w:rPr>
          <w:rFonts w:ascii="Times New Roman" w:hAnsi="Times New Roman" w:cs="Times New Roman"/>
          <w:sz w:val="28"/>
          <w:szCs w:val="28"/>
        </w:rPr>
        <w:t xml:space="preserve">ідає ймовірності </w:t>
      </w:r>
      <w:proofErr w:type="spellStart"/>
      <w:r w:rsidR="00D050D5">
        <w:rPr>
          <w:rFonts w:ascii="Times New Roman" w:hAnsi="Times New Roman" w:cs="Times New Roman"/>
          <w:sz w:val="28"/>
          <w:szCs w:val="28"/>
        </w:rPr>
        <w:t>дефолту</w:t>
      </w:r>
      <w:proofErr w:type="spellEnd"/>
      <w:r w:rsidR="00D050D5">
        <w:rPr>
          <w:rFonts w:ascii="Times New Roman" w:hAnsi="Times New Roman" w:cs="Times New Roman"/>
          <w:sz w:val="28"/>
          <w:szCs w:val="28"/>
        </w:rPr>
        <w:t xml:space="preserve"> - 0,</w:t>
      </w:r>
      <w:r w:rsidR="00D050D5" w:rsidRPr="00D050D5">
        <w:rPr>
          <w:rFonts w:ascii="Times New Roman" w:hAnsi="Times New Roman" w:cs="Times New Roman"/>
          <w:sz w:val="28"/>
          <w:szCs w:val="28"/>
        </w:rPr>
        <w:t>24</w:t>
      </w:r>
      <w:r w:rsidRPr="00D6517B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75D25" w:rsidRDefault="00795011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875D25">
        <w:rPr>
          <w:rFonts w:ascii="Times New Roman" w:hAnsi="Times New Roman" w:cs="Times New Roman"/>
          <w:sz w:val="28"/>
          <w:szCs w:val="28"/>
        </w:rPr>
        <w:t>9</w:t>
      </w:r>
    </w:p>
    <w:p w:rsidR="00875D25" w:rsidRDefault="00875D25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5D25">
        <w:rPr>
          <w:rFonts w:ascii="Times New Roman" w:hAnsi="Times New Roman" w:cs="Times New Roman"/>
          <w:sz w:val="28"/>
          <w:szCs w:val="28"/>
        </w:rPr>
        <w:t xml:space="preserve">Значення рівня довірчої ймовірності, рекомендовані для відповідного рейтингу </w:t>
      </w:r>
      <w:r w:rsidR="00903F3D">
        <w:rPr>
          <w:rFonts w:ascii="Times New Roman" w:hAnsi="Times New Roman" w:cs="Times New Roman"/>
          <w:sz w:val="28"/>
          <w:szCs w:val="28"/>
        </w:rPr>
        <w:t>банк</w:t>
      </w:r>
      <w:r w:rsidR="008535D8">
        <w:rPr>
          <w:rFonts w:ascii="Times New Roman" w:hAnsi="Times New Roman" w:cs="Times New Roman"/>
          <w:sz w:val="28"/>
          <w:szCs w:val="28"/>
        </w:rPr>
        <w:t>у</w:t>
      </w:r>
      <w:r w:rsidR="00903F3D">
        <w:rPr>
          <w:rFonts w:ascii="Times New Roman" w:hAnsi="Times New Roman" w:cs="Times New Roman"/>
          <w:sz w:val="28"/>
          <w:szCs w:val="28"/>
        </w:rPr>
        <w:t xml:space="preserve"> </w:t>
      </w:r>
      <w:r w:rsidR="00903F3D" w:rsidRPr="00105EFC">
        <w:rPr>
          <w:rFonts w:ascii="Times New Roman" w:hAnsi="Times New Roman" w:cs="Times New Roman"/>
          <w:sz w:val="28"/>
          <w:szCs w:val="28"/>
        </w:rPr>
        <w:t>[11]</w:t>
      </w:r>
    </w:p>
    <w:tbl>
      <w:tblPr>
        <w:tblStyle w:val="a6"/>
        <w:tblW w:w="5000" w:type="pct"/>
        <w:tblLook w:val="04A0"/>
      </w:tblPr>
      <w:tblGrid>
        <w:gridCol w:w="4779"/>
        <w:gridCol w:w="4791"/>
      </w:tblGrid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b/>
                <w:sz w:val="24"/>
                <w:szCs w:val="24"/>
              </w:rPr>
            </w:pPr>
            <w:r w:rsidRPr="00903F3D">
              <w:rPr>
                <w:b/>
                <w:sz w:val="24"/>
                <w:szCs w:val="24"/>
              </w:rPr>
              <w:t>Рейтинг банку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3F3D">
              <w:rPr>
                <w:b/>
                <w:sz w:val="24"/>
                <w:szCs w:val="24"/>
                <w:lang w:val="uk-UA"/>
              </w:rPr>
              <w:t>Рівень надійності</w:t>
            </w:r>
          </w:p>
        </w:tc>
      </w:tr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AAA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99,99%</w:t>
            </w:r>
          </w:p>
        </w:tc>
      </w:tr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AA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99,97%</w:t>
            </w:r>
          </w:p>
        </w:tc>
      </w:tr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A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99,92%</w:t>
            </w:r>
          </w:p>
        </w:tc>
      </w:tr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BBB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99,76%</w:t>
            </w:r>
          </w:p>
        </w:tc>
      </w:tr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BB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99,1%</w:t>
            </w:r>
          </w:p>
        </w:tc>
      </w:tr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B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95,49%</w:t>
            </w:r>
          </w:p>
        </w:tc>
      </w:tr>
      <w:tr w:rsidR="007271AE" w:rsidRPr="00903F3D" w:rsidTr="00903F3D">
        <w:tc>
          <w:tcPr>
            <w:tcW w:w="2497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CCC/C</w:t>
            </w:r>
          </w:p>
        </w:tc>
        <w:tc>
          <w:tcPr>
            <w:tcW w:w="2503" w:type="pct"/>
          </w:tcPr>
          <w:p w:rsidR="007271AE" w:rsidRPr="00903F3D" w:rsidRDefault="007271AE" w:rsidP="007271AE">
            <w:pPr>
              <w:jc w:val="center"/>
              <w:rPr>
                <w:sz w:val="24"/>
                <w:szCs w:val="24"/>
              </w:rPr>
            </w:pPr>
            <w:r w:rsidRPr="00903F3D">
              <w:rPr>
                <w:sz w:val="24"/>
                <w:szCs w:val="24"/>
              </w:rPr>
              <w:t>74,33%</w:t>
            </w:r>
          </w:p>
        </w:tc>
      </w:tr>
    </w:tbl>
    <w:p w:rsidR="00903F3D" w:rsidRDefault="00903F3D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7B6" w:rsidRDefault="00D6517B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7B">
        <w:rPr>
          <w:rFonts w:ascii="Times New Roman" w:hAnsi="Times New Roman" w:cs="Times New Roman"/>
          <w:sz w:val="28"/>
          <w:szCs w:val="28"/>
        </w:rPr>
        <w:t>Цільовий кредитний рейтинг для акціонерів</w:t>
      </w:r>
      <w:r w:rsidR="00881FAC" w:rsidRPr="00881F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1FAC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D6517B">
        <w:rPr>
          <w:rFonts w:ascii="Times New Roman" w:hAnsi="Times New Roman" w:cs="Times New Roman"/>
          <w:sz w:val="28"/>
          <w:szCs w:val="28"/>
        </w:rPr>
        <w:t xml:space="preserve"> декларацією про ризик-апетит відповідає рівню A, а йм</w:t>
      </w:r>
      <w:r w:rsidR="00881FAC">
        <w:rPr>
          <w:rFonts w:ascii="Times New Roman" w:hAnsi="Times New Roman" w:cs="Times New Roman"/>
          <w:sz w:val="28"/>
          <w:szCs w:val="28"/>
        </w:rPr>
        <w:t xml:space="preserve">овірність дефолту </w:t>
      </w:r>
      <w:r w:rsidR="00903F3D">
        <w:rPr>
          <w:rFonts w:ascii="Times New Roman" w:hAnsi="Times New Roman" w:cs="Times New Roman"/>
          <w:sz w:val="28"/>
          <w:szCs w:val="28"/>
        </w:rPr>
        <w:t>–</w:t>
      </w:r>
      <w:r w:rsidR="00881FAC">
        <w:rPr>
          <w:rFonts w:ascii="Times New Roman" w:hAnsi="Times New Roman" w:cs="Times New Roman"/>
          <w:sz w:val="28"/>
          <w:szCs w:val="28"/>
        </w:rPr>
        <w:t xml:space="preserve"> 0,</w:t>
      </w:r>
      <w:r w:rsidR="00881FAC" w:rsidRPr="00881FAC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D6517B">
        <w:rPr>
          <w:rFonts w:ascii="Times New Roman" w:hAnsi="Times New Roman" w:cs="Times New Roman"/>
          <w:sz w:val="28"/>
          <w:szCs w:val="28"/>
        </w:rPr>
        <w:t>%, відповідно</w:t>
      </w:r>
      <w:r w:rsidR="00881FAC">
        <w:rPr>
          <w:rFonts w:ascii="Times New Roman" w:hAnsi="Times New Roman" w:cs="Times New Roman"/>
          <w:sz w:val="28"/>
          <w:szCs w:val="28"/>
        </w:rPr>
        <w:t xml:space="preserve"> </w:t>
      </w:r>
      <w:r w:rsidR="00881FAC">
        <w:rPr>
          <w:rFonts w:ascii="Times New Roman" w:hAnsi="Times New Roman" w:cs="Times New Roman"/>
          <w:sz w:val="28"/>
          <w:szCs w:val="28"/>
        </w:rPr>
        <w:lastRenderedPageBreak/>
        <w:t>економічний</w:t>
      </w:r>
      <w:r w:rsidRPr="00D6517B">
        <w:rPr>
          <w:rFonts w:ascii="Times New Roman" w:hAnsi="Times New Roman" w:cs="Times New Roman"/>
          <w:sz w:val="28"/>
          <w:szCs w:val="28"/>
        </w:rPr>
        <w:t xml:space="preserve"> капітал повинен покривати збитки </w:t>
      </w:r>
      <w:r w:rsidR="00903F3D">
        <w:rPr>
          <w:rFonts w:ascii="Times New Roman" w:hAnsi="Times New Roman" w:cs="Times New Roman"/>
          <w:sz w:val="28"/>
          <w:szCs w:val="28"/>
        </w:rPr>
        <w:t xml:space="preserve">з ймовірністю не менше 100% </w:t>
      </w:r>
      <w:r w:rsidR="00881FAC">
        <w:rPr>
          <w:rFonts w:ascii="Times New Roman" w:hAnsi="Times New Roman" w:cs="Times New Roman"/>
          <w:sz w:val="28"/>
          <w:szCs w:val="28"/>
        </w:rPr>
        <w:t>-</w:t>
      </w:r>
      <w:r w:rsidR="00903F3D">
        <w:rPr>
          <w:rFonts w:ascii="Times New Roman" w:hAnsi="Times New Roman" w:cs="Times New Roman"/>
          <w:sz w:val="28"/>
          <w:szCs w:val="28"/>
        </w:rPr>
        <w:t xml:space="preserve"> </w:t>
      </w:r>
      <w:r w:rsidR="00881FAC">
        <w:rPr>
          <w:rFonts w:ascii="Times New Roman" w:hAnsi="Times New Roman" w:cs="Times New Roman"/>
          <w:sz w:val="28"/>
          <w:szCs w:val="28"/>
        </w:rPr>
        <w:t>0,</w:t>
      </w:r>
      <w:r w:rsidR="00881FAC" w:rsidRPr="00881FAC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D6517B">
        <w:rPr>
          <w:rFonts w:ascii="Times New Roman" w:hAnsi="Times New Roman" w:cs="Times New Roman"/>
          <w:sz w:val="28"/>
          <w:szCs w:val="28"/>
        </w:rPr>
        <w:t>% = 99,9</w:t>
      </w:r>
      <w:r w:rsidR="00881FAC" w:rsidRPr="00881FA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6517B">
        <w:rPr>
          <w:rFonts w:ascii="Times New Roman" w:hAnsi="Times New Roman" w:cs="Times New Roman"/>
          <w:sz w:val="28"/>
          <w:szCs w:val="28"/>
        </w:rPr>
        <w:t>%. Результати оцінки капіталу під ризиком по бізнес-одиниця</w:t>
      </w:r>
      <w:r w:rsidR="00903F3D">
        <w:rPr>
          <w:rFonts w:ascii="Times New Roman" w:hAnsi="Times New Roman" w:cs="Times New Roman"/>
          <w:sz w:val="28"/>
          <w:szCs w:val="28"/>
        </w:rPr>
        <w:t>х</w:t>
      </w:r>
      <w:r w:rsidRPr="00D6517B">
        <w:rPr>
          <w:rFonts w:ascii="Times New Roman" w:hAnsi="Times New Roman" w:cs="Times New Roman"/>
          <w:sz w:val="28"/>
          <w:szCs w:val="28"/>
        </w:rPr>
        <w:t xml:space="preserve"> і банку в цілому на підставі заданої ймовірності не</w:t>
      </w:r>
      <w:r w:rsidR="00DD34A0">
        <w:rPr>
          <w:rFonts w:ascii="Times New Roman" w:hAnsi="Times New Roman" w:cs="Times New Roman"/>
          <w:sz w:val="28"/>
          <w:szCs w:val="28"/>
          <w:lang w:val="ru-RU"/>
        </w:rPr>
        <w:t>банкротства</w:t>
      </w:r>
      <w:r w:rsidRPr="00D6517B">
        <w:rPr>
          <w:rFonts w:ascii="Times New Roman" w:hAnsi="Times New Roman" w:cs="Times New Roman"/>
          <w:sz w:val="28"/>
          <w:szCs w:val="28"/>
        </w:rPr>
        <w:t xml:space="preserve"> наведені в </w:t>
      </w:r>
      <w:r w:rsidR="00903F3D">
        <w:rPr>
          <w:rFonts w:ascii="Times New Roman" w:hAnsi="Times New Roman" w:cs="Times New Roman"/>
          <w:sz w:val="28"/>
          <w:szCs w:val="28"/>
        </w:rPr>
        <w:t xml:space="preserve">табл. </w:t>
      </w:r>
      <w:r w:rsidR="00DD34A0">
        <w:rPr>
          <w:rFonts w:ascii="Times New Roman" w:hAnsi="Times New Roman" w:cs="Times New Roman"/>
          <w:sz w:val="28"/>
          <w:szCs w:val="28"/>
        </w:rPr>
        <w:t>10</w:t>
      </w:r>
      <w:r w:rsidRPr="00D6517B">
        <w:rPr>
          <w:rFonts w:ascii="Times New Roman" w:hAnsi="Times New Roman" w:cs="Times New Roman"/>
          <w:sz w:val="28"/>
          <w:szCs w:val="28"/>
        </w:rPr>
        <w:t>.</w:t>
      </w:r>
    </w:p>
    <w:p w:rsidR="00DD34A0" w:rsidRPr="00DD34A0" w:rsidRDefault="00795011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DD34A0" w:rsidRPr="00DD34A0">
        <w:rPr>
          <w:rFonts w:ascii="Times New Roman" w:hAnsi="Times New Roman" w:cs="Times New Roman"/>
          <w:sz w:val="28"/>
          <w:szCs w:val="28"/>
        </w:rPr>
        <w:t>1</w:t>
      </w:r>
      <w:r w:rsidR="00DD34A0">
        <w:rPr>
          <w:rFonts w:ascii="Times New Roman" w:hAnsi="Times New Roman" w:cs="Times New Roman"/>
          <w:sz w:val="28"/>
          <w:szCs w:val="28"/>
        </w:rPr>
        <w:t>0</w:t>
      </w:r>
    </w:p>
    <w:p w:rsidR="00DD34A0" w:rsidRDefault="00DD34A0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34A0">
        <w:rPr>
          <w:rFonts w:ascii="Times New Roman" w:hAnsi="Times New Roman" w:cs="Times New Roman"/>
          <w:sz w:val="28"/>
          <w:szCs w:val="28"/>
        </w:rPr>
        <w:t xml:space="preserve">Розрахунок </w:t>
      </w:r>
      <w:r>
        <w:rPr>
          <w:rFonts w:ascii="Times New Roman" w:hAnsi="Times New Roman" w:cs="Times New Roman"/>
          <w:sz w:val="28"/>
          <w:szCs w:val="28"/>
        </w:rPr>
        <w:t>ризик-капіталу за типами ризику</w:t>
      </w:r>
      <w:r w:rsidRPr="00DD34A0">
        <w:rPr>
          <w:rFonts w:ascii="Times New Roman" w:hAnsi="Times New Roman" w:cs="Times New Roman"/>
          <w:sz w:val="28"/>
          <w:szCs w:val="28"/>
        </w:rPr>
        <w:t xml:space="preserve"> бізнес-одиниц</w:t>
      </w:r>
      <w:r w:rsidR="00903F3D">
        <w:rPr>
          <w:rFonts w:ascii="Times New Roman" w:hAnsi="Times New Roman" w:cs="Times New Roman"/>
          <w:sz w:val="28"/>
          <w:szCs w:val="28"/>
        </w:rPr>
        <w:t>ь</w:t>
      </w:r>
      <w:r w:rsidRPr="00DD34A0">
        <w:rPr>
          <w:rFonts w:ascii="Times New Roman" w:hAnsi="Times New Roman" w:cs="Times New Roman"/>
          <w:sz w:val="28"/>
          <w:szCs w:val="28"/>
        </w:rPr>
        <w:t xml:space="preserve"> банку на основі різних ризик-</w:t>
      </w:r>
      <w:r>
        <w:rPr>
          <w:rFonts w:ascii="Times New Roman" w:hAnsi="Times New Roman" w:cs="Times New Roman"/>
          <w:sz w:val="28"/>
          <w:szCs w:val="28"/>
        </w:rPr>
        <w:t>мір (тис. грн.).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735"/>
        <w:gridCol w:w="2446"/>
        <w:gridCol w:w="2459"/>
      </w:tblGrid>
      <w:tr w:rsidR="00DD34A0" w:rsidRPr="00903F3D" w:rsidTr="00903F3D">
        <w:trPr>
          <w:trHeight w:val="300"/>
        </w:trPr>
        <w:tc>
          <w:tcPr>
            <w:tcW w:w="100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DD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Параметри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DD34A0" w:rsidRPr="00903F3D" w:rsidRDefault="00795011" w:rsidP="00DD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278" w:type="pct"/>
            <w:shd w:val="clear" w:color="auto" w:fill="auto"/>
            <w:noWrap/>
            <w:vAlign w:val="center"/>
            <w:hideMark/>
          </w:tcPr>
          <w:p w:rsidR="00DD34A0" w:rsidRPr="00903F3D" w:rsidRDefault="00795011" w:rsidP="00DD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DD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Банк</w:t>
            </w:r>
          </w:p>
        </w:tc>
      </w:tr>
      <w:tr w:rsidR="00DD34A0" w:rsidRPr="00903F3D" w:rsidTr="00903F3D">
        <w:trPr>
          <w:trHeight w:val="300"/>
        </w:trPr>
        <w:tc>
          <w:tcPr>
            <w:tcW w:w="100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VaR</w:t>
            </w:r>
            <w:proofErr w:type="spellEnd"/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22095,06181</w:t>
            </w:r>
          </w:p>
        </w:tc>
        <w:tc>
          <w:tcPr>
            <w:tcW w:w="127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15166,40967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37261,47148</w:t>
            </w:r>
          </w:p>
        </w:tc>
      </w:tr>
      <w:tr w:rsidR="00DD34A0" w:rsidRPr="00903F3D" w:rsidTr="00903F3D">
        <w:trPr>
          <w:trHeight w:val="300"/>
        </w:trPr>
        <w:tc>
          <w:tcPr>
            <w:tcW w:w="100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OREC (</w:t>
            </w:r>
            <w:proofErr w:type="spellStart"/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VaR</w:t>
            </w:r>
            <w:proofErr w:type="spellEnd"/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20859,13732</w:t>
            </w:r>
          </w:p>
        </w:tc>
        <w:tc>
          <w:tcPr>
            <w:tcW w:w="127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13994,26496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34853,40228</w:t>
            </w:r>
          </w:p>
        </w:tc>
      </w:tr>
      <w:tr w:rsidR="00DD34A0" w:rsidRPr="00903F3D" w:rsidTr="00903F3D">
        <w:trPr>
          <w:trHeight w:val="300"/>
        </w:trPr>
        <w:tc>
          <w:tcPr>
            <w:tcW w:w="100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ES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31358,27058</w:t>
            </w:r>
          </w:p>
        </w:tc>
        <w:tc>
          <w:tcPr>
            <w:tcW w:w="127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26462,35643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57820,62701</w:t>
            </w:r>
          </w:p>
        </w:tc>
      </w:tr>
      <w:tr w:rsidR="00DD34A0" w:rsidRPr="00903F3D" w:rsidTr="00903F3D">
        <w:trPr>
          <w:trHeight w:val="300"/>
        </w:trPr>
        <w:tc>
          <w:tcPr>
            <w:tcW w:w="100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OREC (ES)</w:t>
            </w:r>
          </w:p>
        </w:tc>
        <w:tc>
          <w:tcPr>
            <w:tcW w:w="1429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30122,33333</w:t>
            </w:r>
          </w:p>
        </w:tc>
        <w:tc>
          <w:tcPr>
            <w:tcW w:w="1278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27264,66667</w:t>
            </w:r>
          </w:p>
        </w:tc>
        <w:tc>
          <w:tcPr>
            <w:tcW w:w="1286" w:type="pct"/>
            <w:shd w:val="clear" w:color="auto" w:fill="auto"/>
            <w:noWrap/>
            <w:vAlign w:val="center"/>
            <w:hideMark/>
          </w:tcPr>
          <w:p w:rsidR="00DD34A0" w:rsidRPr="00903F3D" w:rsidRDefault="00DD34A0" w:rsidP="00903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03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57387</w:t>
            </w:r>
          </w:p>
        </w:tc>
      </w:tr>
    </w:tbl>
    <w:p w:rsidR="00903F3D" w:rsidRDefault="00903F3D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A0" w:rsidRPr="00DD34A0" w:rsidRDefault="00DD34A0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4A0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>
        <w:rPr>
          <w:rFonts w:ascii="Times New Roman" w:hAnsi="Times New Roman" w:cs="Times New Roman"/>
          <w:sz w:val="28"/>
          <w:szCs w:val="28"/>
        </w:rPr>
        <w:t xml:space="preserve">економічний </w:t>
      </w:r>
      <w:r w:rsidRPr="00DD34A0">
        <w:rPr>
          <w:rFonts w:ascii="Times New Roman" w:hAnsi="Times New Roman" w:cs="Times New Roman"/>
          <w:sz w:val="28"/>
          <w:szCs w:val="28"/>
        </w:rPr>
        <w:t xml:space="preserve">капітал під операційний ризик, тобто капітал, необхідний для покриття збитків від реалізації подій операційного ризику, оцінений за допомогою розробленої моделі оцінки ризик-капіталу на основі </w:t>
      </w:r>
      <w:r>
        <w:rPr>
          <w:rFonts w:ascii="Times New Roman" w:hAnsi="Times New Roman" w:cs="Times New Roman"/>
          <w:sz w:val="28"/>
          <w:szCs w:val="28"/>
          <w:lang w:val="en-US"/>
        </w:rPr>
        <w:t>LDA</w:t>
      </w:r>
      <w:r w:rsidRPr="00DD34A0">
        <w:rPr>
          <w:rFonts w:ascii="Times New Roman" w:hAnsi="Times New Roman" w:cs="Times New Roman"/>
          <w:sz w:val="28"/>
          <w:szCs w:val="28"/>
        </w:rPr>
        <w:t xml:space="preserve">, що спирається на принципи </w:t>
      </w:r>
      <w:r w:rsidR="00947344" w:rsidRPr="00947344">
        <w:rPr>
          <w:rFonts w:ascii="Times New Roman" w:hAnsi="Times New Roman" w:cs="Times New Roman"/>
          <w:sz w:val="28"/>
          <w:szCs w:val="28"/>
        </w:rPr>
        <w:t>передових</w:t>
      </w:r>
      <w:r w:rsidRPr="00DD34A0">
        <w:rPr>
          <w:rFonts w:ascii="Times New Roman" w:hAnsi="Times New Roman" w:cs="Times New Roman"/>
          <w:sz w:val="28"/>
          <w:szCs w:val="28"/>
        </w:rPr>
        <w:t xml:space="preserve"> підходів,</w:t>
      </w:r>
      <w:r w:rsidR="00947344" w:rsidRPr="00947344">
        <w:rPr>
          <w:rFonts w:ascii="Times New Roman" w:hAnsi="Times New Roman" w:cs="Times New Roman"/>
          <w:sz w:val="28"/>
          <w:szCs w:val="28"/>
        </w:rPr>
        <w:t xml:space="preserve"> що</w:t>
      </w:r>
      <w:r w:rsidR="00947344">
        <w:rPr>
          <w:rFonts w:ascii="Times New Roman" w:hAnsi="Times New Roman" w:cs="Times New Roman"/>
          <w:sz w:val="28"/>
          <w:szCs w:val="28"/>
        </w:rPr>
        <w:t xml:space="preserve"> описані в Базельській угоді про капітал</w:t>
      </w:r>
      <w:r w:rsidRPr="00DD34A0">
        <w:rPr>
          <w:rFonts w:ascii="Times New Roman" w:hAnsi="Times New Roman" w:cs="Times New Roman"/>
          <w:sz w:val="28"/>
          <w:szCs w:val="28"/>
        </w:rPr>
        <w:t xml:space="preserve">, </w:t>
      </w:r>
      <w:r w:rsidR="00947344">
        <w:rPr>
          <w:rFonts w:ascii="Times New Roman" w:hAnsi="Times New Roman" w:cs="Times New Roman"/>
          <w:sz w:val="28"/>
          <w:szCs w:val="28"/>
        </w:rPr>
        <w:t xml:space="preserve">за </w:t>
      </w:r>
      <w:r w:rsidRPr="00DD34A0">
        <w:rPr>
          <w:rFonts w:ascii="Times New Roman" w:hAnsi="Times New Roman" w:cs="Times New Roman"/>
          <w:sz w:val="28"/>
          <w:szCs w:val="28"/>
        </w:rPr>
        <w:t xml:space="preserve"> двома основними ризик-</w:t>
      </w:r>
      <w:r w:rsidR="00947344">
        <w:rPr>
          <w:rFonts w:ascii="Times New Roman" w:hAnsi="Times New Roman" w:cs="Times New Roman"/>
          <w:sz w:val="28"/>
          <w:szCs w:val="28"/>
        </w:rPr>
        <w:t>мірами</w:t>
      </w:r>
      <w:r w:rsidRPr="00DD34A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D34A0">
        <w:rPr>
          <w:rFonts w:ascii="Times New Roman" w:hAnsi="Times New Roman" w:cs="Times New Roman"/>
          <w:sz w:val="28"/>
          <w:szCs w:val="28"/>
        </w:rPr>
        <w:t>квантиль</w:t>
      </w:r>
      <w:proofErr w:type="spellEnd"/>
      <w:r w:rsidRPr="00DD34A0">
        <w:rPr>
          <w:rFonts w:ascii="Times New Roman" w:hAnsi="Times New Roman" w:cs="Times New Roman"/>
          <w:sz w:val="28"/>
          <w:szCs w:val="28"/>
        </w:rPr>
        <w:t xml:space="preserve"> рівня α (</w:t>
      </w:r>
      <w:proofErr w:type="spellStart"/>
      <w:r w:rsidRPr="00DD34A0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DD34A0">
        <w:rPr>
          <w:rFonts w:ascii="Times New Roman" w:hAnsi="Times New Roman" w:cs="Times New Roman"/>
          <w:sz w:val="28"/>
          <w:szCs w:val="28"/>
        </w:rPr>
        <w:t xml:space="preserve">) і умовне математичне </w:t>
      </w:r>
      <w:r w:rsidR="002C6BB2">
        <w:rPr>
          <w:rFonts w:ascii="Times New Roman" w:hAnsi="Times New Roman" w:cs="Times New Roman"/>
          <w:sz w:val="28"/>
          <w:szCs w:val="28"/>
        </w:rPr>
        <w:t>сподівання</w:t>
      </w:r>
      <w:r w:rsidRPr="00DD34A0">
        <w:rPr>
          <w:rFonts w:ascii="Times New Roman" w:hAnsi="Times New Roman" w:cs="Times New Roman"/>
          <w:sz w:val="28"/>
          <w:szCs w:val="28"/>
        </w:rPr>
        <w:t xml:space="preserve"> (ES) дорівнює, відповідно </w:t>
      </w:r>
      <w:r w:rsidR="00947344" w:rsidRPr="00DD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34853,40</w:t>
      </w:r>
      <w:r w:rsidR="00947344" w:rsidRPr="00DD34A0">
        <w:rPr>
          <w:rFonts w:ascii="Times New Roman" w:hAnsi="Times New Roman" w:cs="Times New Roman"/>
          <w:sz w:val="28"/>
          <w:szCs w:val="28"/>
        </w:rPr>
        <w:t xml:space="preserve"> </w:t>
      </w:r>
      <w:r w:rsidR="00947344">
        <w:rPr>
          <w:rFonts w:ascii="Times New Roman" w:hAnsi="Times New Roman" w:cs="Times New Roman"/>
          <w:sz w:val="28"/>
          <w:szCs w:val="28"/>
        </w:rPr>
        <w:t xml:space="preserve"> тис. грн</w:t>
      </w:r>
      <w:r w:rsidRPr="00DD34A0">
        <w:rPr>
          <w:rFonts w:ascii="Times New Roman" w:hAnsi="Times New Roman" w:cs="Times New Roman"/>
          <w:sz w:val="28"/>
          <w:szCs w:val="28"/>
        </w:rPr>
        <w:t xml:space="preserve">. і </w:t>
      </w:r>
      <w:r w:rsidR="00947344" w:rsidRPr="00DD34A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57387</w:t>
      </w:r>
      <w:r w:rsidR="009473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тис. </w:t>
      </w:r>
      <w:r w:rsidR="00947344">
        <w:rPr>
          <w:rFonts w:ascii="Times New Roman" w:hAnsi="Times New Roman" w:cs="Times New Roman"/>
          <w:sz w:val="28"/>
          <w:szCs w:val="28"/>
        </w:rPr>
        <w:t>грн</w:t>
      </w:r>
      <w:r w:rsidRPr="00DD34A0">
        <w:rPr>
          <w:rFonts w:ascii="Times New Roman" w:hAnsi="Times New Roman" w:cs="Times New Roman"/>
          <w:sz w:val="28"/>
          <w:szCs w:val="28"/>
        </w:rPr>
        <w:t>.</w:t>
      </w:r>
    </w:p>
    <w:p w:rsidR="005224A7" w:rsidRPr="002D605F" w:rsidRDefault="00DD34A0" w:rsidP="002D605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34A0">
        <w:rPr>
          <w:rFonts w:ascii="Times New Roman" w:hAnsi="Times New Roman" w:cs="Times New Roman"/>
          <w:sz w:val="28"/>
          <w:szCs w:val="28"/>
        </w:rPr>
        <w:t>Порівняє</w:t>
      </w:r>
      <w:r w:rsidR="00947344">
        <w:rPr>
          <w:rFonts w:ascii="Times New Roman" w:hAnsi="Times New Roman" w:cs="Times New Roman"/>
          <w:sz w:val="28"/>
          <w:szCs w:val="28"/>
        </w:rPr>
        <w:t xml:space="preserve">мо отримані значення з оцінкою </w:t>
      </w:r>
      <w:r w:rsidRPr="00DD34A0">
        <w:rPr>
          <w:rFonts w:ascii="Times New Roman" w:hAnsi="Times New Roman" w:cs="Times New Roman"/>
          <w:sz w:val="28"/>
          <w:szCs w:val="28"/>
        </w:rPr>
        <w:t>економічного</w:t>
      </w:r>
      <w:r w:rsidR="00947344">
        <w:rPr>
          <w:rFonts w:ascii="Times New Roman" w:hAnsi="Times New Roman" w:cs="Times New Roman"/>
          <w:sz w:val="28"/>
          <w:szCs w:val="28"/>
        </w:rPr>
        <w:t xml:space="preserve"> </w:t>
      </w:r>
      <w:r w:rsidRPr="00DD34A0">
        <w:rPr>
          <w:rFonts w:ascii="Times New Roman" w:hAnsi="Times New Roman" w:cs="Times New Roman"/>
          <w:sz w:val="28"/>
          <w:szCs w:val="28"/>
        </w:rPr>
        <w:t>капіталу на покриття операційних ризиків, отриманої на підставі базового індикативного підходу</w:t>
      </w:r>
      <w:r w:rsidR="00947344">
        <w:rPr>
          <w:rFonts w:ascii="Times New Roman" w:hAnsi="Times New Roman" w:cs="Times New Roman"/>
          <w:sz w:val="28"/>
          <w:szCs w:val="28"/>
        </w:rPr>
        <w:t xml:space="preserve"> </w:t>
      </w:r>
      <w:r w:rsidR="002C6BB2">
        <w:rPr>
          <w:rFonts w:ascii="Times New Roman" w:hAnsi="Times New Roman" w:cs="Times New Roman"/>
          <w:sz w:val="28"/>
          <w:szCs w:val="28"/>
        </w:rPr>
        <w:t>(</w:t>
      </w:r>
      <w:r w:rsidR="00947344">
        <w:rPr>
          <w:rFonts w:ascii="Times New Roman" w:hAnsi="Times New Roman" w:cs="Times New Roman"/>
          <w:sz w:val="28"/>
          <w:szCs w:val="28"/>
          <w:lang w:val="en-US"/>
        </w:rPr>
        <w:t>BIA</w:t>
      </w:r>
      <w:r w:rsidR="002C6BB2">
        <w:rPr>
          <w:rFonts w:ascii="Times New Roman" w:hAnsi="Times New Roman" w:cs="Times New Roman"/>
          <w:sz w:val="28"/>
          <w:szCs w:val="28"/>
        </w:rPr>
        <w:t>)</w:t>
      </w:r>
      <w:r w:rsidR="00947344">
        <w:rPr>
          <w:rFonts w:ascii="Times New Roman" w:hAnsi="Times New Roman" w:cs="Times New Roman"/>
          <w:sz w:val="28"/>
          <w:szCs w:val="28"/>
        </w:rPr>
        <w:t xml:space="preserve">. </w:t>
      </w:r>
      <w:r w:rsidR="002D605F">
        <w:rPr>
          <w:rFonts w:ascii="Times New Roman" w:hAnsi="Times New Roman" w:cs="Times New Roman"/>
          <w:sz w:val="28"/>
          <w:szCs w:val="28"/>
        </w:rPr>
        <w:t xml:space="preserve">За формулою </w:t>
      </w:r>
      <m:oMath>
        <m:sSubSup>
          <m:sSubSupPr>
            <m:ctrlPr>
              <w:rPr>
                <w:rFonts w:ascii="Cambria Math" w:hAnsi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BIA</m:t>
            </m:r>
          </m:sup>
        </m:sSubSup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  <m:nary>
          <m:naryPr>
            <m:chr m:val="∑"/>
            <m:limLoc m:val="subSup"/>
            <m:ctrlPr>
              <w:rPr>
                <w:rFonts w:ascii="Cambria Math" w:hAnsi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max</m:t>
            </m:r>
            <m:d>
              <m:dPr>
                <m:begChr m:val="{"/>
                <m:endChr m:val="}"/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GI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Times New Roman" w:hAnsi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,0</m:t>
                </m:r>
              </m:e>
            </m:d>
          </m:e>
        </m:nary>
      </m:oMath>
      <w:r w:rsidRPr="00DD34A0">
        <w:rPr>
          <w:rFonts w:ascii="Times New Roman" w:hAnsi="Times New Roman" w:cs="Times New Roman"/>
          <w:sz w:val="28"/>
          <w:szCs w:val="28"/>
        </w:rPr>
        <w:t xml:space="preserve"> отримуємо обсяги капіталу на покриття операційного ризику. Порівняння отриманих </w:t>
      </w:r>
      <w:r w:rsidR="002D605F">
        <w:rPr>
          <w:rFonts w:ascii="Times New Roman" w:hAnsi="Times New Roman" w:cs="Times New Roman"/>
          <w:sz w:val="28"/>
          <w:szCs w:val="28"/>
        </w:rPr>
        <w:t xml:space="preserve">результатів наведено в </w:t>
      </w:r>
      <w:r w:rsidR="002C6BB2">
        <w:rPr>
          <w:rFonts w:ascii="Times New Roman" w:hAnsi="Times New Roman" w:cs="Times New Roman"/>
          <w:sz w:val="28"/>
          <w:szCs w:val="28"/>
        </w:rPr>
        <w:t xml:space="preserve">табл. </w:t>
      </w:r>
      <w:r w:rsidR="005224A7">
        <w:rPr>
          <w:rFonts w:ascii="Times New Roman" w:hAnsi="Times New Roman" w:cs="Times New Roman"/>
          <w:sz w:val="28"/>
          <w:szCs w:val="28"/>
        </w:rPr>
        <w:t>1</w:t>
      </w:r>
      <w:proofErr w:type="spellStart"/>
      <w:r w:rsidR="005224A7" w:rsidRPr="005224A7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spellEnd"/>
      <w:r w:rsidR="002C6BB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24A7" w:rsidRPr="00375F61" w:rsidRDefault="002D605F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</w:t>
      </w:r>
      <w:r w:rsidR="005224A7" w:rsidRPr="005224A7">
        <w:rPr>
          <w:rFonts w:ascii="Times New Roman" w:hAnsi="Times New Roman" w:cs="Times New Roman"/>
          <w:sz w:val="28"/>
          <w:szCs w:val="28"/>
        </w:rPr>
        <w:t>1</w:t>
      </w:r>
      <w:r w:rsidR="002C6BB2">
        <w:rPr>
          <w:rFonts w:ascii="Times New Roman" w:hAnsi="Times New Roman" w:cs="Times New Roman"/>
          <w:sz w:val="28"/>
          <w:szCs w:val="28"/>
        </w:rPr>
        <w:t>1</w:t>
      </w:r>
    </w:p>
    <w:p w:rsidR="00DD34A0" w:rsidRPr="00375F61" w:rsidRDefault="005224A7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224A7">
        <w:rPr>
          <w:rFonts w:ascii="Times New Roman" w:hAnsi="Times New Roman" w:cs="Times New Roman"/>
          <w:sz w:val="28"/>
          <w:szCs w:val="28"/>
        </w:rPr>
        <w:t>Порівняння результатів розрахунку капіталу на</w:t>
      </w:r>
      <w:r w:rsidR="002A48F0">
        <w:rPr>
          <w:rFonts w:ascii="Times New Roman" w:hAnsi="Times New Roman" w:cs="Times New Roman"/>
          <w:sz w:val="28"/>
          <w:szCs w:val="28"/>
        </w:rPr>
        <w:t xml:space="preserve"> покриття операційного</w:t>
      </w:r>
      <w:r w:rsidRPr="005224A7">
        <w:rPr>
          <w:rFonts w:ascii="Times New Roman" w:hAnsi="Times New Roman" w:cs="Times New Roman"/>
          <w:sz w:val="28"/>
          <w:szCs w:val="28"/>
        </w:rPr>
        <w:t xml:space="preserve"> ризик</w:t>
      </w:r>
      <w:r w:rsidR="002A48F0">
        <w:rPr>
          <w:rFonts w:ascii="Times New Roman" w:hAnsi="Times New Roman" w:cs="Times New Roman"/>
          <w:sz w:val="28"/>
          <w:szCs w:val="28"/>
        </w:rPr>
        <w:t>у</w:t>
      </w:r>
      <w:r w:rsidRPr="00522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AMA</w:t>
      </w:r>
      <w:r w:rsidRPr="00375F61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en-US"/>
        </w:rPr>
        <w:t>LDA</w:t>
      </w:r>
      <w:r w:rsidRPr="00375F61">
        <w:rPr>
          <w:rFonts w:ascii="Times New Roman" w:hAnsi="Times New Roman" w:cs="Times New Roman"/>
          <w:sz w:val="28"/>
          <w:szCs w:val="28"/>
        </w:rPr>
        <w:t xml:space="preserve">) </w:t>
      </w:r>
      <w:r w:rsidRPr="005224A7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en-US"/>
        </w:rPr>
        <w:t>BIA</w:t>
      </w:r>
      <w:r w:rsidRPr="00375F6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тис. грн.</w:t>
      </w:r>
      <w:r w:rsidRPr="00375F61">
        <w:rPr>
          <w:rFonts w:ascii="Times New Roman" w:hAnsi="Times New Roman" w:cs="Times New Roman"/>
          <w:sz w:val="28"/>
          <w:szCs w:val="28"/>
        </w:rPr>
        <w:t>)</w:t>
      </w:r>
      <w:r w:rsidR="00DD34A0" w:rsidRPr="00DD34A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2"/>
        <w:gridCol w:w="1967"/>
        <w:gridCol w:w="1968"/>
        <w:gridCol w:w="1968"/>
        <w:gridCol w:w="1545"/>
      </w:tblGrid>
      <w:tr w:rsidR="002C6BB2" w:rsidRPr="002C6BB2" w:rsidTr="002C6BB2">
        <w:trPr>
          <w:trHeight w:val="300"/>
        </w:trPr>
        <w:tc>
          <w:tcPr>
            <w:tcW w:w="1109" w:type="pct"/>
            <w:vMerge w:val="restart"/>
            <w:shd w:val="clear" w:color="auto" w:fill="auto"/>
            <w:noWrap/>
            <w:vAlign w:val="center"/>
            <w:hideMark/>
          </w:tcPr>
          <w:p w:rsidR="002C6BB2" w:rsidRPr="002C6BB2" w:rsidRDefault="002C6BB2" w:rsidP="002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Бізнес-одиниці</w:t>
            </w:r>
          </w:p>
        </w:tc>
        <w:tc>
          <w:tcPr>
            <w:tcW w:w="2056" w:type="pct"/>
            <w:gridSpan w:val="2"/>
            <w:shd w:val="clear" w:color="auto" w:fill="auto"/>
            <w:noWrap/>
            <w:vAlign w:val="center"/>
            <w:hideMark/>
          </w:tcPr>
          <w:p w:rsidR="002C6BB2" w:rsidRPr="002C6BB2" w:rsidRDefault="002C6BB2" w:rsidP="00E5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BIA</w:t>
            </w:r>
          </w:p>
        </w:tc>
        <w:tc>
          <w:tcPr>
            <w:tcW w:w="1835" w:type="pct"/>
            <w:gridSpan w:val="2"/>
            <w:shd w:val="clear" w:color="auto" w:fill="auto"/>
            <w:noWrap/>
            <w:vAlign w:val="center"/>
            <w:hideMark/>
          </w:tcPr>
          <w:p w:rsidR="002C6BB2" w:rsidRPr="002C6BB2" w:rsidRDefault="002C6BB2" w:rsidP="00E5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AMA (LDA)</w:t>
            </w:r>
          </w:p>
        </w:tc>
      </w:tr>
      <w:tr w:rsidR="002C6BB2" w:rsidRPr="002C6BB2" w:rsidTr="002C6BB2">
        <w:trPr>
          <w:trHeight w:val="300"/>
        </w:trPr>
        <w:tc>
          <w:tcPr>
            <w:tcW w:w="1109" w:type="pct"/>
            <w:vMerge/>
            <w:shd w:val="clear" w:color="auto" w:fill="auto"/>
            <w:noWrap/>
            <w:vAlign w:val="center"/>
            <w:hideMark/>
          </w:tcPr>
          <w:p w:rsidR="002C6BB2" w:rsidRPr="002C6BB2" w:rsidRDefault="002C6BB2" w:rsidP="00E50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2C6BB2" w:rsidRPr="002C6BB2" w:rsidRDefault="002C6BB2" w:rsidP="002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Обсяг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2C6BB2" w:rsidRPr="002C6BB2" w:rsidRDefault="002C6BB2" w:rsidP="002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Частка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2C6BB2" w:rsidRPr="002C6BB2" w:rsidRDefault="002C6BB2" w:rsidP="0066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Обсяг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, тис. грн.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2C6BB2" w:rsidRPr="002C6BB2" w:rsidRDefault="002C6BB2" w:rsidP="0066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Частка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r w:rsidRPr="002C6B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%</w:t>
            </w:r>
          </w:p>
        </w:tc>
      </w:tr>
      <w:tr w:rsidR="005224A7" w:rsidRPr="002C6BB2" w:rsidTr="002C6BB2">
        <w:trPr>
          <w:trHeight w:val="300"/>
        </w:trPr>
        <w:tc>
          <w:tcPr>
            <w:tcW w:w="1109" w:type="pct"/>
            <w:shd w:val="clear" w:color="auto" w:fill="auto"/>
            <w:noWrap/>
            <w:vAlign w:val="center"/>
            <w:hideMark/>
          </w:tcPr>
          <w:p w:rsidR="005224A7" w:rsidRPr="002C6BB2" w:rsidRDefault="002D605F" w:rsidP="002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20518,96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0,482821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30122,33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0,524898</w:t>
            </w:r>
          </w:p>
        </w:tc>
      </w:tr>
      <w:tr w:rsidR="005224A7" w:rsidRPr="002C6BB2" w:rsidTr="002C6BB2">
        <w:trPr>
          <w:trHeight w:val="300"/>
        </w:trPr>
        <w:tc>
          <w:tcPr>
            <w:tcW w:w="1109" w:type="pct"/>
            <w:shd w:val="clear" w:color="auto" w:fill="auto"/>
            <w:noWrap/>
            <w:vAlign w:val="center"/>
            <w:hideMark/>
          </w:tcPr>
          <w:p w:rsidR="005224A7" w:rsidRPr="002C6BB2" w:rsidRDefault="002D605F" w:rsidP="002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21979,08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0,517179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27264,67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0,475102</w:t>
            </w:r>
          </w:p>
        </w:tc>
      </w:tr>
      <w:tr w:rsidR="005224A7" w:rsidRPr="002C6BB2" w:rsidTr="002C6BB2">
        <w:trPr>
          <w:trHeight w:val="300"/>
        </w:trPr>
        <w:tc>
          <w:tcPr>
            <w:tcW w:w="1109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Банк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42498,04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8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57387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:rsidR="005224A7" w:rsidRPr="002C6BB2" w:rsidRDefault="005224A7" w:rsidP="002C6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</w:pPr>
            <w:r w:rsidRPr="002C6B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</w:tbl>
    <w:p w:rsidR="002C6BB2" w:rsidRDefault="002C6BB2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8F0" w:rsidRPr="002A48F0" w:rsidRDefault="002D605F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видно з </w:t>
      </w:r>
      <w:r w:rsidR="002C6BB2">
        <w:rPr>
          <w:rFonts w:ascii="Times New Roman" w:hAnsi="Times New Roman" w:cs="Times New Roman"/>
          <w:sz w:val="28"/>
          <w:szCs w:val="28"/>
        </w:rPr>
        <w:t xml:space="preserve">табл. </w:t>
      </w:r>
      <w:r w:rsidR="002A48F0" w:rsidRPr="002A48F0">
        <w:rPr>
          <w:rFonts w:ascii="Times New Roman" w:hAnsi="Times New Roman" w:cs="Times New Roman"/>
          <w:sz w:val="28"/>
          <w:szCs w:val="28"/>
        </w:rPr>
        <w:t>11</w:t>
      </w:r>
      <w:r w:rsidR="002C6BB2">
        <w:rPr>
          <w:rFonts w:ascii="Times New Roman" w:hAnsi="Times New Roman" w:cs="Times New Roman"/>
          <w:sz w:val="28"/>
          <w:szCs w:val="28"/>
        </w:rPr>
        <w:t>,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перехід банку на</w:t>
      </w:r>
      <w:r w:rsidR="00FC51F8" w:rsidRPr="00FC51F8">
        <w:rPr>
          <w:rFonts w:ascii="Times New Roman" w:hAnsi="Times New Roman" w:cs="Times New Roman"/>
          <w:sz w:val="28"/>
          <w:szCs w:val="28"/>
        </w:rPr>
        <w:t xml:space="preserve"> </w:t>
      </w:r>
      <w:r w:rsidR="00FC51F8">
        <w:rPr>
          <w:rFonts w:ascii="Times New Roman" w:hAnsi="Times New Roman" w:cs="Times New Roman"/>
          <w:sz w:val="28"/>
          <w:szCs w:val="28"/>
        </w:rPr>
        <w:t>передові підходи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АМА </w:t>
      </w:r>
      <w:r w:rsidR="00FC51F8" w:rsidRPr="00FC51F8">
        <w:rPr>
          <w:rFonts w:ascii="Times New Roman" w:hAnsi="Times New Roman" w:cs="Times New Roman"/>
          <w:sz w:val="28"/>
          <w:szCs w:val="28"/>
        </w:rPr>
        <w:t>(</w:t>
      </w:r>
      <w:r w:rsidR="00FC51F8">
        <w:rPr>
          <w:rFonts w:ascii="Times New Roman" w:hAnsi="Times New Roman" w:cs="Times New Roman"/>
          <w:sz w:val="28"/>
          <w:szCs w:val="28"/>
          <w:lang w:val="en-US"/>
        </w:rPr>
        <w:t>LDA</w:t>
      </w:r>
      <w:r w:rsidR="00FC51F8" w:rsidRPr="00FC51F8">
        <w:rPr>
          <w:rFonts w:ascii="Times New Roman" w:hAnsi="Times New Roman" w:cs="Times New Roman"/>
          <w:sz w:val="28"/>
          <w:szCs w:val="28"/>
        </w:rPr>
        <w:t>)</w:t>
      </w:r>
      <w:r w:rsidR="002C6BB2">
        <w:rPr>
          <w:rFonts w:ascii="Times New Roman" w:hAnsi="Times New Roman" w:cs="Times New Roman"/>
          <w:sz w:val="28"/>
          <w:szCs w:val="28"/>
        </w:rPr>
        <w:t xml:space="preserve"> 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дозволить істотно підвищити норматив достатності </w:t>
      </w:r>
      <w:r w:rsidR="00FC51F8">
        <w:rPr>
          <w:rFonts w:ascii="Times New Roman" w:hAnsi="Times New Roman" w:cs="Times New Roman"/>
          <w:sz w:val="28"/>
          <w:szCs w:val="28"/>
        </w:rPr>
        <w:t xml:space="preserve">економічного 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капіталу, що буде відображати </w:t>
      </w:r>
      <w:r w:rsidR="00FC51F8">
        <w:rPr>
          <w:rFonts w:ascii="Times New Roman" w:hAnsi="Times New Roman" w:cs="Times New Roman"/>
          <w:sz w:val="28"/>
          <w:szCs w:val="28"/>
        </w:rPr>
        <w:t xml:space="preserve">на </w:t>
      </w:r>
      <w:r w:rsidR="002A48F0" w:rsidRPr="002A48F0">
        <w:rPr>
          <w:rFonts w:ascii="Times New Roman" w:hAnsi="Times New Roman" w:cs="Times New Roman"/>
          <w:sz w:val="28"/>
          <w:szCs w:val="28"/>
        </w:rPr>
        <w:t>ринку більш високу його надійність.</w:t>
      </w:r>
      <w:r w:rsidR="002C6BB2">
        <w:rPr>
          <w:rFonts w:ascii="Times New Roman" w:hAnsi="Times New Roman" w:cs="Times New Roman"/>
          <w:sz w:val="28"/>
          <w:szCs w:val="28"/>
        </w:rPr>
        <w:t xml:space="preserve"> </w:t>
      </w:r>
      <w:r w:rsidR="00FC51F8">
        <w:rPr>
          <w:rFonts w:ascii="Times New Roman" w:hAnsi="Times New Roman" w:cs="Times New Roman"/>
          <w:sz w:val="28"/>
          <w:szCs w:val="28"/>
        </w:rPr>
        <w:t xml:space="preserve">Підхід 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</w:t>
      </w:r>
      <w:r w:rsidR="00FC51F8">
        <w:rPr>
          <w:rFonts w:ascii="Times New Roman" w:hAnsi="Times New Roman" w:cs="Times New Roman"/>
          <w:sz w:val="28"/>
          <w:szCs w:val="28"/>
          <w:lang w:val="en-US"/>
        </w:rPr>
        <w:t>LDA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дозволяє розрахувати ризик-капітал</w:t>
      </w:r>
      <w:r w:rsidR="00FC51F8">
        <w:rPr>
          <w:rFonts w:ascii="Times New Roman" w:hAnsi="Times New Roman" w:cs="Times New Roman"/>
          <w:sz w:val="28"/>
          <w:szCs w:val="28"/>
        </w:rPr>
        <w:t xml:space="preserve"> за окремими бізнес-одиницям</w:t>
      </w:r>
      <w:r w:rsidR="004C0AE2">
        <w:rPr>
          <w:rFonts w:ascii="Times New Roman" w:hAnsi="Times New Roman" w:cs="Times New Roman"/>
          <w:sz w:val="28"/>
          <w:szCs w:val="28"/>
        </w:rPr>
        <w:t>и</w:t>
      </w:r>
      <w:r w:rsidR="00FC51F8">
        <w:rPr>
          <w:rFonts w:ascii="Times New Roman" w:hAnsi="Times New Roman" w:cs="Times New Roman"/>
          <w:sz w:val="28"/>
          <w:szCs w:val="28"/>
        </w:rPr>
        <w:t xml:space="preserve"> 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самостійним банкам, враховуючи їх відособленість</w:t>
      </w:r>
      <w:r w:rsidR="002C6BB2">
        <w:rPr>
          <w:rFonts w:ascii="Times New Roman" w:hAnsi="Times New Roman" w:cs="Times New Roman"/>
          <w:sz w:val="28"/>
          <w:szCs w:val="28"/>
        </w:rPr>
        <w:t xml:space="preserve"> та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їх «власні» </w:t>
      </w:r>
      <w:r w:rsidR="002C6BB2">
        <w:rPr>
          <w:rFonts w:ascii="Times New Roman" w:hAnsi="Times New Roman" w:cs="Times New Roman"/>
          <w:sz w:val="28"/>
          <w:szCs w:val="28"/>
        </w:rPr>
        <w:t xml:space="preserve">операційні </w:t>
      </w:r>
      <w:r w:rsidR="002A48F0" w:rsidRPr="002A48F0">
        <w:rPr>
          <w:rFonts w:ascii="Times New Roman" w:hAnsi="Times New Roman" w:cs="Times New Roman"/>
          <w:sz w:val="28"/>
          <w:szCs w:val="28"/>
        </w:rPr>
        <w:t>ризики.</w:t>
      </w:r>
      <w:r w:rsidR="002C6BB2">
        <w:rPr>
          <w:rFonts w:ascii="Times New Roman" w:hAnsi="Times New Roman" w:cs="Times New Roman"/>
          <w:sz w:val="28"/>
          <w:szCs w:val="28"/>
        </w:rPr>
        <w:t xml:space="preserve"> 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Капітал, розрахований в рамках </w:t>
      </w:r>
      <w:r w:rsidR="00FC51F8">
        <w:rPr>
          <w:rFonts w:ascii="Times New Roman" w:hAnsi="Times New Roman" w:cs="Times New Roman"/>
          <w:sz w:val="28"/>
          <w:szCs w:val="28"/>
        </w:rPr>
        <w:t>передових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підходів в розрізі бізнес-о</w:t>
      </w:r>
      <w:r w:rsidR="00FC51F8">
        <w:rPr>
          <w:rFonts w:ascii="Times New Roman" w:hAnsi="Times New Roman" w:cs="Times New Roman"/>
          <w:sz w:val="28"/>
          <w:szCs w:val="28"/>
        </w:rPr>
        <w:t xml:space="preserve">диниць значно відрізняється: </w:t>
      </w:r>
      <w:r w:rsidR="002A48F0" w:rsidRPr="002A48F0">
        <w:rPr>
          <w:rFonts w:ascii="Times New Roman" w:hAnsi="Times New Roman" w:cs="Times New Roman"/>
          <w:sz w:val="28"/>
          <w:szCs w:val="28"/>
        </w:rPr>
        <w:t>більший ризик притаманний</w:t>
      </w:r>
      <w:r w:rsidR="00FC51F8" w:rsidRPr="00FC51F8">
        <w:rPr>
          <w:rFonts w:ascii="Times New Roman" w:hAnsi="Times New Roman" w:cs="Times New Roman"/>
          <w:sz w:val="28"/>
          <w:szCs w:val="28"/>
        </w:rPr>
        <w:t xml:space="preserve"> </w:t>
      </w:r>
      <w:r w:rsidR="00FC51F8">
        <w:rPr>
          <w:rFonts w:ascii="Times New Roman" w:hAnsi="Times New Roman" w:cs="Times New Roman"/>
          <w:sz w:val="28"/>
          <w:szCs w:val="28"/>
        </w:rPr>
        <w:t xml:space="preserve">відділенню </w:t>
      </w:r>
      <w:r w:rsidR="00B23324">
        <w:rPr>
          <w:rFonts w:ascii="Times New Roman" w:hAnsi="Times New Roman" w:cs="Times New Roman"/>
          <w:sz w:val="28"/>
          <w:szCs w:val="28"/>
        </w:rPr>
        <w:t>А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, </w:t>
      </w:r>
      <w:r w:rsidR="00FC51F8">
        <w:rPr>
          <w:rFonts w:ascii="Times New Roman" w:hAnsi="Times New Roman" w:cs="Times New Roman"/>
          <w:sz w:val="28"/>
          <w:szCs w:val="28"/>
        </w:rPr>
        <w:t>менший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</w:t>
      </w:r>
      <w:r w:rsidR="00B23324">
        <w:rPr>
          <w:rFonts w:ascii="Times New Roman" w:hAnsi="Times New Roman" w:cs="Times New Roman"/>
          <w:sz w:val="28"/>
          <w:szCs w:val="28"/>
        </w:rPr>
        <w:t>–</w:t>
      </w:r>
      <w:r w:rsidR="002A48F0" w:rsidRPr="002A48F0">
        <w:rPr>
          <w:rFonts w:ascii="Times New Roman" w:hAnsi="Times New Roman" w:cs="Times New Roman"/>
          <w:sz w:val="28"/>
          <w:szCs w:val="28"/>
        </w:rPr>
        <w:t xml:space="preserve"> </w:t>
      </w:r>
      <w:r w:rsidR="00FC51F8">
        <w:rPr>
          <w:rFonts w:ascii="Times New Roman" w:hAnsi="Times New Roman" w:cs="Times New Roman"/>
          <w:sz w:val="28"/>
          <w:szCs w:val="28"/>
        </w:rPr>
        <w:t>відділенню</w:t>
      </w:r>
      <w:r w:rsidR="00B23324">
        <w:rPr>
          <w:rFonts w:ascii="Times New Roman" w:hAnsi="Times New Roman" w:cs="Times New Roman"/>
          <w:sz w:val="28"/>
          <w:szCs w:val="28"/>
        </w:rPr>
        <w:t xml:space="preserve"> Б</w:t>
      </w:r>
      <w:r w:rsidR="00FC51F8">
        <w:rPr>
          <w:rFonts w:ascii="Times New Roman" w:hAnsi="Times New Roman" w:cs="Times New Roman"/>
          <w:sz w:val="28"/>
          <w:szCs w:val="28"/>
        </w:rPr>
        <w:t xml:space="preserve"> банку</w:t>
      </w:r>
      <w:r w:rsidR="002A48F0" w:rsidRPr="002A48F0">
        <w:rPr>
          <w:rFonts w:ascii="Times New Roman" w:hAnsi="Times New Roman" w:cs="Times New Roman"/>
          <w:sz w:val="28"/>
          <w:szCs w:val="28"/>
        </w:rPr>
        <w:t>.</w:t>
      </w:r>
    </w:p>
    <w:p w:rsidR="002A48F0" w:rsidRPr="002A48F0" w:rsidRDefault="002A48F0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8F0">
        <w:rPr>
          <w:rFonts w:ascii="Times New Roman" w:hAnsi="Times New Roman" w:cs="Times New Roman"/>
          <w:sz w:val="28"/>
          <w:szCs w:val="28"/>
        </w:rPr>
        <w:t xml:space="preserve">Таким чином, </w:t>
      </w:r>
      <w:r w:rsidR="002C6BB2">
        <w:rPr>
          <w:rFonts w:ascii="Times New Roman" w:hAnsi="Times New Roman" w:cs="Times New Roman"/>
          <w:sz w:val="28"/>
          <w:szCs w:val="28"/>
        </w:rPr>
        <w:t xml:space="preserve">оцінка операційного ризику на підставі використання </w:t>
      </w:r>
      <w:r w:rsidR="00ED7E77">
        <w:rPr>
          <w:rFonts w:ascii="Times New Roman" w:hAnsi="Times New Roman" w:cs="Times New Roman"/>
          <w:sz w:val="28"/>
          <w:szCs w:val="28"/>
        </w:rPr>
        <w:t>передов</w:t>
      </w:r>
      <w:r w:rsidR="002C6BB2">
        <w:rPr>
          <w:rFonts w:ascii="Times New Roman" w:hAnsi="Times New Roman" w:cs="Times New Roman"/>
          <w:sz w:val="28"/>
          <w:szCs w:val="28"/>
        </w:rPr>
        <w:t>их</w:t>
      </w:r>
      <w:r w:rsidRPr="002A48F0">
        <w:rPr>
          <w:rFonts w:ascii="Times New Roman" w:hAnsi="Times New Roman" w:cs="Times New Roman"/>
          <w:sz w:val="28"/>
          <w:szCs w:val="28"/>
        </w:rPr>
        <w:t xml:space="preserve"> підход</w:t>
      </w:r>
      <w:r w:rsidR="002C6BB2">
        <w:rPr>
          <w:rFonts w:ascii="Times New Roman" w:hAnsi="Times New Roman" w:cs="Times New Roman"/>
          <w:sz w:val="28"/>
          <w:szCs w:val="28"/>
        </w:rPr>
        <w:t>ів</w:t>
      </w:r>
      <w:r w:rsidR="002C6BB2" w:rsidRPr="002C6BB2">
        <w:rPr>
          <w:rFonts w:ascii="Times New Roman" w:hAnsi="Times New Roman" w:cs="Times New Roman"/>
          <w:sz w:val="28"/>
          <w:szCs w:val="28"/>
        </w:rPr>
        <w:t xml:space="preserve"> АМА</w:t>
      </w:r>
      <w:r w:rsidRPr="002A48F0">
        <w:rPr>
          <w:rFonts w:ascii="Times New Roman" w:hAnsi="Times New Roman" w:cs="Times New Roman"/>
          <w:sz w:val="28"/>
          <w:szCs w:val="28"/>
        </w:rPr>
        <w:t>:</w:t>
      </w:r>
    </w:p>
    <w:p w:rsidR="002A48F0" w:rsidRPr="002C6BB2" w:rsidRDefault="00ED7E77" w:rsidP="002C6BB2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B2">
        <w:rPr>
          <w:rFonts w:ascii="Times New Roman" w:hAnsi="Times New Roman" w:cs="Times New Roman"/>
          <w:sz w:val="28"/>
          <w:szCs w:val="28"/>
        </w:rPr>
        <w:t>підвищує</w:t>
      </w:r>
      <w:r w:rsidR="002A48F0" w:rsidRPr="002C6BB2">
        <w:rPr>
          <w:rFonts w:ascii="Times New Roman" w:hAnsi="Times New Roman" w:cs="Times New Roman"/>
          <w:sz w:val="28"/>
          <w:szCs w:val="28"/>
        </w:rPr>
        <w:t xml:space="preserve"> норматив достатності капіталу, покращує оцінку ринком надійності банку</w:t>
      </w:r>
      <w:r w:rsidR="002C6BB2">
        <w:rPr>
          <w:rFonts w:ascii="Times New Roman" w:hAnsi="Times New Roman" w:cs="Times New Roman"/>
          <w:sz w:val="28"/>
          <w:szCs w:val="28"/>
        </w:rPr>
        <w:t>;</w:t>
      </w:r>
    </w:p>
    <w:p w:rsidR="002A48F0" w:rsidRPr="002C6BB2" w:rsidRDefault="00ED7E77" w:rsidP="002C6BB2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B2">
        <w:rPr>
          <w:rFonts w:ascii="Times New Roman" w:hAnsi="Times New Roman" w:cs="Times New Roman"/>
          <w:sz w:val="28"/>
          <w:szCs w:val="28"/>
        </w:rPr>
        <w:t xml:space="preserve">відображає </w:t>
      </w:r>
      <w:r w:rsidR="002A48F0" w:rsidRPr="002C6BB2">
        <w:rPr>
          <w:rFonts w:ascii="Times New Roman" w:hAnsi="Times New Roman" w:cs="Times New Roman"/>
          <w:sz w:val="28"/>
          <w:szCs w:val="28"/>
        </w:rPr>
        <w:t xml:space="preserve">реальний обсяг ризику банку, враховуючи диверсифікацію портфелів ризиків бізнес-одиниць при розгляді </w:t>
      </w:r>
      <w:r w:rsidR="002C6BB2">
        <w:rPr>
          <w:rFonts w:ascii="Times New Roman" w:hAnsi="Times New Roman" w:cs="Times New Roman"/>
          <w:sz w:val="28"/>
          <w:szCs w:val="28"/>
        </w:rPr>
        <w:t>їх у складі загальної структури;</w:t>
      </w:r>
    </w:p>
    <w:p w:rsidR="002A48F0" w:rsidRPr="002C6BB2" w:rsidRDefault="00ED7E77" w:rsidP="002C6BB2">
      <w:pPr>
        <w:pStyle w:val="a3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BB2">
        <w:rPr>
          <w:rFonts w:ascii="Times New Roman" w:hAnsi="Times New Roman" w:cs="Times New Roman"/>
          <w:sz w:val="28"/>
          <w:szCs w:val="28"/>
        </w:rPr>
        <w:t xml:space="preserve">дає </w:t>
      </w:r>
      <w:r w:rsidR="001723B8" w:rsidRPr="002C6BB2">
        <w:rPr>
          <w:rFonts w:ascii="Times New Roman" w:hAnsi="Times New Roman" w:cs="Times New Roman"/>
          <w:sz w:val="28"/>
          <w:szCs w:val="28"/>
        </w:rPr>
        <w:t>можливість оцінки ризику</w:t>
      </w:r>
      <w:r w:rsidR="002A48F0" w:rsidRPr="002C6BB2">
        <w:rPr>
          <w:rFonts w:ascii="Times New Roman" w:hAnsi="Times New Roman" w:cs="Times New Roman"/>
          <w:sz w:val="28"/>
          <w:szCs w:val="28"/>
        </w:rPr>
        <w:t xml:space="preserve"> бізнес-одиниць окремо, виявляючи істотні відмінності між профілями ризику бізнес-одиниць, як окремих </w:t>
      </w:r>
      <w:r w:rsidR="002C6BB2">
        <w:rPr>
          <w:rFonts w:ascii="Times New Roman" w:hAnsi="Times New Roman" w:cs="Times New Roman"/>
          <w:sz w:val="28"/>
          <w:szCs w:val="28"/>
        </w:rPr>
        <w:t>банків</w:t>
      </w:r>
      <w:r w:rsidR="002A48F0" w:rsidRPr="002C6BB2">
        <w:rPr>
          <w:rFonts w:ascii="Times New Roman" w:hAnsi="Times New Roman" w:cs="Times New Roman"/>
          <w:sz w:val="28"/>
          <w:szCs w:val="28"/>
        </w:rPr>
        <w:t>.</w:t>
      </w:r>
    </w:p>
    <w:p w:rsidR="001B5BCD" w:rsidRDefault="00345DEB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 також зауважити</w:t>
      </w:r>
      <w:r w:rsidR="001A05D7">
        <w:rPr>
          <w:rFonts w:ascii="Times New Roman" w:hAnsi="Times New Roman" w:cs="Times New Roman"/>
          <w:sz w:val="28"/>
          <w:szCs w:val="28"/>
        </w:rPr>
        <w:t>, що операційний ризик є тільки</w:t>
      </w:r>
      <w:r w:rsidR="004C0AE2">
        <w:rPr>
          <w:rFonts w:ascii="Times New Roman" w:hAnsi="Times New Roman" w:cs="Times New Roman"/>
          <w:sz w:val="28"/>
          <w:szCs w:val="28"/>
        </w:rPr>
        <w:t xml:space="preserve"> однією</w:t>
      </w:r>
      <w:r w:rsidR="001A05D7">
        <w:rPr>
          <w:rFonts w:ascii="Times New Roman" w:hAnsi="Times New Roman" w:cs="Times New Roman"/>
          <w:sz w:val="28"/>
          <w:szCs w:val="28"/>
        </w:rPr>
        <w:t xml:space="preserve"> з</w:t>
      </w:r>
      <w:r w:rsidR="002C6BB2">
        <w:rPr>
          <w:rFonts w:ascii="Times New Roman" w:hAnsi="Times New Roman" w:cs="Times New Roman"/>
          <w:sz w:val="28"/>
          <w:szCs w:val="28"/>
        </w:rPr>
        <w:t>і</w:t>
      </w:r>
      <w:r w:rsidR="001A05D7">
        <w:rPr>
          <w:rFonts w:ascii="Times New Roman" w:hAnsi="Times New Roman" w:cs="Times New Roman"/>
          <w:sz w:val="28"/>
          <w:szCs w:val="28"/>
        </w:rPr>
        <w:t xml:space="preserve"> складових для розрахунку економічного капіталу банку</w:t>
      </w:r>
      <w:r>
        <w:rPr>
          <w:rFonts w:ascii="Times New Roman" w:hAnsi="Times New Roman" w:cs="Times New Roman"/>
          <w:sz w:val="28"/>
          <w:szCs w:val="28"/>
        </w:rPr>
        <w:t xml:space="preserve">. Тому розрахунки на його основі </w:t>
      </w:r>
      <w:r w:rsidR="002C6BB2">
        <w:rPr>
          <w:rFonts w:ascii="Times New Roman" w:hAnsi="Times New Roman" w:cs="Times New Roman"/>
          <w:sz w:val="28"/>
          <w:szCs w:val="28"/>
        </w:rPr>
        <w:t>ще</w:t>
      </w:r>
      <w:r w:rsidR="001A05D7">
        <w:rPr>
          <w:rFonts w:ascii="Times New Roman" w:hAnsi="Times New Roman" w:cs="Times New Roman"/>
          <w:sz w:val="28"/>
          <w:szCs w:val="28"/>
        </w:rPr>
        <w:t xml:space="preserve"> не дозволя</w:t>
      </w:r>
      <w:r>
        <w:rPr>
          <w:rFonts w:ascii="Times New Roman" w:hAnsi="Times New Roman" w:cs="Times New Roman"/>
          <w:sz w:val="28"/>
          <w:szCs w:val="28"/>
        </w:rPr>
        <w:t>ють</w:t>
      </w:r>
      <w:r w:rsidR="001A05D7">
        <w:rPr>
          <w:rFonts w:ascii="Times New Roman" w:hAnsi="Times New Roman" w:cs="Times New Roman"/>
          <w:sz w:val="28"/>
          <w:szCs w:val="28"/>
        </w:rPr>
        <w:t xml:space="preserve"> стверджувати про достатність економічного капіталу</w:t>
      </w:r>
      <w:r>
        <w:rPr>
          <w:rFonts w:ascii="Times New Roman" w:hAnsi="Times New Roman" w:cs="Times New Roman"/>
          <w:sz w:val="28"/>
          <w:szCs w:val="28"/>
        </w:rPr>
        <w:t xml:space="preserve"> банку</w:t>
      </w:r>
      <w:r w:rsidR="001A05D7">
        <w:rPr>
          <w:rFonts w:ascii="Times New Roman" w:hAnsi="Times New Roman" w:cs="Times New Roman"/>
          <w:sz w:val="28"/>
          <w:szCs w:val="28"/>
        </w:rPr>
        <w:t xml:space="preserve"> в цілому. Беручи до уваги недостатню кількість даних, що дозволила б судити про рівень взаємозв’язку між економічним капіталом під операційний ризик та </w:t>
      </w:r>
      <w:r w:rsidR="00D13621">
        <w:rPr>
          <w:rFonts w:ascii="Times New Roman" w:hAnsi="Times New Roman" w:cs="Times New Roman"/>
          <w:sz w:val="28"/>
          <w:szCs w:val="28"/>
        </w:rPr>
        <w:t>кредитний і валютний ризики</w:t>
      </w:r>
      <w:r w:rsidR="00184C0F">
        <w:rPr>
          <w:rFonts w:ascii="Times New Roman" w:hAnsi="Times New Roman" w:cs="Times New Roman"/>
          <w:sz w:val="28"/>
          <w:szCs w:val="28"/>
        </w:rPr>
        <w:t>,</w:t>
      </w:r>
      <w:r w:rsidR="001A05D7">
        <w:rPr>
          <w:rFonts w:ascii="Times New Roman" w:hAnsi="Times New Roman" w:cs="Times New Roman"/>
          <w:sz w:val="28"/>
          <w:szCs w:val="28"/>
        </w:rPr>
        <w:t xml:space="preserve"> що впливають на розрахунок економічного капіталу банку в цілому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83611D">
        <w:rPr>
          <w:rFonts w:ascii="Times New Roman" w:hAnsi="Times New Roman" w:cs="Times New Roman"/>
          <w:sz w:val="28"/>
          <w:szCs w:val="28"/>
        </w:rPr>
        <w:t xml:space="preserve">базуючись </w:t>
      </w:r>
      <w:r>
        <w:rPr>
          <w:rFonts w:ascii="Times New Roman" w:hAnsi="Times New Roman" w:cs="Times New Roman"/>
          <w:sz w:val="28"/>
          <w:szCs w:val="28"/>
        </w:rPr>
        <w:t>на припущенні, що економічний капітал може бути розрахований як функція від кредитного ризику (</w:t>
      </w:r>
      <m:oMath>
        <m:r>
          <w:rPr>
            <w:rFonts w:ascii="Cambria Math" w:hAnsi="Cambria Math" w:cs="Times New Roman"/>
            <w:sz w:val="28"/>
            <w:szCs w:val="28"/>
          </w:rPr>
          <m:t>EC=f(KP)</m:t>
        </m:r>
      </m:oMath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05EFC" w:rsidRPr="00105EFC">
        <w:rPr>
          <w:rFonts w:ascii="Times New Roman" w:hAnsi="Times New Roman" w:cs="Times New Roman"/>
          <w:sz w:val="28"/>
          <w:szCs w:val="28"/>
        </w:rPr>
        <w:t>[12]</w:t>
      </w:r>
      <w:r w:rsidR="001B5B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запропоновано наступну</w:t>
      </w:r>
      <w:r w:rsidR="001B5BCD">
        <w:rPr>
          <w:rFonts w:ascii="Times New Roman" w:hAnsi="Times New Roman" w:cs="Times New Roman"/>
          <w:sz w:val="28"/>
          <w:szCs w:val="28"/>
        </w:rPr>
        <w:t xml:space="preserve"> гіпотез</w:t>
      </w:r>
      <w:r w:rsidR="00D13621">
        <w:rPr>
          <w:rFonts w:ascii="Times New Roman" w:hAnsi="Times New Roman" w:cs="Times New Roman"/>
          <w:sz w:val="28"/>
          <w:szCs w:val="28"/>
        </w:rPr>
        <w:t xml:space="preserve">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EC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OREC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D1362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D13621">
        <w:rPr>
          <w:rFonts w:ascii="Times New Roman" w:hAnsi="Times New Roman" w:cs="Times New Roman"/>
          <w:sz w:val="28"/>
          <w:szCs w:val="28"/>
        </w:rPr>
        <w:t>Отримані на основі цієї гіпотези результати</w:t>
      </w:r>
      <w:r w:rsidR="00BD0B07" w:rsidRPr="00D13621">
        <w:rPr>
          <w:rFonts w:ascii="Times New Roman" w:hAnsi="Times New Roman" w:cs="Times New Roman"/>
          <w:sz w:val="28"/>
          <w:szCs w:val="28"/>
        </w:rPr>
        <w:t xml:space="preserve"> </w:t>
      </w:r>
      <w:r w:rsidR="00184C0F" w:rsidRPr="00D13621">
        <w:rPr>
          <w:rFonts w:ascii="Times New Roman" w:hAnsi="Times New Roman" w:cs="Times New Roman"/>
          <w:sz w:val="28"/>
          <w:szCs w:val="28"/>
        </w:rPr>
        <w:t>наведені</w:t>
      </w:r>
      <w:r w:rsidR="00B23324" w:rsidRPr="00D13621">
        <w:rPr>
          <w:rFonts w:ascii="Times New Roman" w:hAnsi="Times New Roman" w:cs="Times New Roman"/>
          <w:sz w:val="28"/>
          <w:szCs w:val="28"/>
        </w:rPr>
        <w:t xml:space="preserve"> в табл</w:t>
      </w:r>
      <w:r w:rsidRPr="00D13621">
        <w:rPr>
          <w:rFonts w:ascii="Times New Roman" w:hAnsi="Times New Roman" w:cs="Times New Roman"/>
          <w:sz w:val="28"/>
          <w:szCs w:val="28"/>
        </w:rPr>
        <w:t>.</w:t>
      </w:r>
      <w:r w:rsidR="00B23324" w:rsidRPr="00D13621">
        <w:rPr>
          <w:rFonts w:ascii="Times New Roman" w:hAnsi="Times New Roman" w:cs="Times New Roman"/>
          <w:sz w:val="28"/>
          <w:szCs w:val="28"/>
        </w:rPr>
        <w:t xml:space="preserve"> </w:t>
      </w:r>
      <w:r w:rsidR="00BD0B07" w:rsidRPr="00D13621">
        <w:rPr>
          <w:rFonts w:ascii="Times New Roman" w:hAnsi="Times New Roman" w:cs="Times New Roman"/>
          <w:sz w:val="28"/>
          <w:szCs w:val="28"/>
        </w:rPr>
        <w:t>12.</w:t>
      </w:r>
    </w:p>
    <w:p w:rsidR="00BD0B07" w:rsidRDefault="00BD0B07" w:rsidP="002C4D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</w:t>
      </w:r>
      <w:r w:rsidR="00B23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BD0B07" w:rsidRPr="001B5BCD" w:rsidRDefault="00BD0B07" w:rsidP="002C4D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Оцінка рівня достатності економічного капіталу банку (тис. грн.)</w:t>
      </w:r>
    </w:p>
    <w:tbl>
      <w:tblPr>
        <w:tblStyle w:val="a6"/>
        <w:tblW w:w="5000" w:type="pct"/>
        <w:tblLook w:val="04A0"/>
      </w:tblPr>
      <w:tblGrid>
        <w:gridCol w:w="4783"/>
        <w:gridCol w:w="4787"/>
      </w:tblGrid>
      <w:tr w:rsidR="00D66EBD" w:rsidRPr="00345DEB" w:rsidTr="00D66EBD">
        <w:tc>
          <w:tcPr>
            <w:tcW w:w="2499" w:type="pct"/>
            <w:vAlign w:val="center"/>
          </w:tcPr>
          <w:p w:rsidR="00D66EBD" w:rsidRPr="00345DEB" w:rsidRDefault="00D66EBD" w:rsidP="00345DE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45DEB">
              <w:rPr>
                <w:b/>
                <w:sz w:val="24"/>
                <w:szCs w:val="24"/>
                <w:lang w:val="uk-UA"/>
              </w:rPr>
              <w:t>Бізнес-одиниці</w:t>
            </w:r>
          </w:p>
        </w:tc>
        <w:tc>
          <w:tcPr>
            <w:tcW w:w="2501" w:type="pct"/>
            <w:vAlign w:val="center"/>
          </w:tcPr>
          <w:p w:rsidR="00D66EBD" w:rsidRPr="00345DEB" w:rsidRDefault="00D66EBD" w:rsidP="00D66EB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45DEB">
              <w:rPr>
                <w:b/>
                <w:sz w:val="24"/>
                <w:szCs w:val="24"/>
                <w:lang w:val="uk-UA"/>
              </w:rPr>
              <w:t>Величина економічного капіталу</w:t>
            </w:r>
          </w:p>
        </w:tc>
      </w:tr>
      <w:tr w:rsidR="00D66EBD" w:rsidRPr="00345DEB" w:rsidTr="00D66EBD">
        <w:tc>
          <w:tcPr>
            <w:tcW w:w="2499" w:type="pct"/>
          </w:tcPr>
          <w:p w:rsidR="00D66EBD" w:rsidRPr="00345DEB" w:rsidRDefault="00D66EBD" w:rsidP="00BD0B07">
            <w:pPr>
              <w:jc w:val="center"/>
              <w:rPr>
                <w:sz w:val="24"/>
                <w:szCs w:val="24"/>
              </w:rPr>
            </w:pPr>
            <w:r w:rsidRPr="00345DEB">
              <w:rPr>
                <w:sz w:val="24"/>
                <w:szCs w:val="24"/>
              </w:rPr>
              <w:t>А</w:t>
            </w:r>
          </w:p>
        </w:tc>
        <w:tc>
          <w:tcPr>
            <w:tcW w:w="2501" w:type="pct"/>
            <w:vAlign w:val="center"/>
          </w:tcPr>
          <w:p w:rsidR="00D66EBD" w:rsidRPr="00345DEB" w:rsidRDefault="00D66EBD" w:rsidP="00BD0B07">
            <w:pPr>
              <w:jc w:val="center"/>
              <w:rPr>
                <w:color w:val="000000"/>
                <w:sz w:val="24"/>
                <w:szCs w:val="24"/>
              </w:rPr>
            </w:pPr>
            <w:r w:rsidRPr="00345DEB">
              <w:rPr>
                <w:color w:val="000000"/>
                <w:sz w:val="24"/>
                <w:szCs w:val="24"/>
              </w:rPr>
              <w:t>382224,6</w:t>
            </w:r>
          </w:p>
        </w:tc>
      </w:tr>
      <w:tr w:rsidR="00D66EBD" w:rsidRPr="00345DEB" w:rsidTr="00D66EBD">
        <w:tc>
          <w:tcPr>
            <w:tcW w:w="2499" w:type="pct"/>
          </w:tcPr>
          <w:p w:rsidR="00D66EBD" w:rsidRPr="00345DEB" w:rsidRDefault="00D66EBD" w:rsidP="00BD0B07">
            <w:pPr>
              <w:jc w:val="center"/>
              <w:rPr>
                <w:sz w:val="24"/>
                <w:szCs w:val="24"/>
              </w:rPr>
            </w:pPr>
            <w:r w:rsidRPr="00345DEB">
              <w:rPr>
                <w:sz w:val="24"/>
                <w:szCs w:val="24"/>
              </w:rPr>
              <w:t>Б</w:t>
            </w:r>
          </w:p>
        </w:tc>
        <w:tc>
          <w:tcPr>
            <w:tcW w:w="2501" w:type="pct"/>
            <w:vAlign w:val="center"/>
          </w:tcPr>
          <w:p w:rsidR="00D66EBD" w:rsidRPr="00345DEB" w:rsidRDefault="00D66EBD" w:rsidP="00BD0B07">
            <w:pPr>
              <w:jc w:val="center"/>
              <w:rPr>
                <w:color w:val="000000"/>
                <w:sz w:val="24"/>
                <w:szCs w:val="24"/>
              </w:rPr>
            </w:pPr>
            <w:r w:rsidRPr="00345DEB">
              <w:rPr>
                <w:color w:val="000000"/>
                <w:sz w:val="24"/>
                <w:szCs w:val="24"/>
              </w:rPr>
              <w:t>345963,4</w:t>
            </w:r>
          </w:p>
        </w:tc>
      </w:tr>
      <w:tr w:rsidR="00D66EBD" w:rsidRPr="00345DEB" w:rsidTr="00D66EBD">
        <w:tc>
          <w:tcPr>
            <w:tcW w:w="2499" w:type="pct"/>
          </w:tcPr>
          <w:p w:rsidR="00D66EBD" w:rsidRPr="00345DEB" w:rsidRDefault="00D66EBD" w:rsidP="00BD0B07">
            <w:pPr>
              <w:jc w:val="center"/>
              <w:rPr>
                <w:i/>
                <w:sz w:val="24"/>
                <w:szCs w:val="24"/>
              </w:rPr>
            </w:pPr>
            <w:r w:rsidRPr="00345DEB">
              <w:rPr>
                <w:i/>
                <w:sz w:val="24"/>
                <w:szCs w:val="24"/>
              </w:rPr>
              <w:t>Банк</w:t>
            </w:r>
          </w:p>
        </w:tc>
        <w:tc>
          <w:tcPr>
            <w:tcW w:w="2501" w:type="pct"/>
            <w:vAlign w:val="center"/>
          </w:tcPr>
          <w:p w:rsidR="00D66EBD" w:rsidRPr="00345DEB" w:rsidRDefault="00D66EBD" w:rsidP="00BD0B0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345DEB">
              <w:rPr>
                <w:i/>
                <w:color w:val="000000"/>
                <w:sz w:val="24"/>
                <w:szCs w:val="24"/>
              </w:rPr>
              <w:t>728188</w:t>
            </w:r>
          </w:p>
        </w:tc>
      </w:tr>
    </w:tbl>
    <w:p w:rsidR="002C4D10" w:rsidRDefault="002C4D10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B07" w:rsidRDefault="00BD0B07" w:rsidP="002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виходячи з табл</w:t>
      </w:r>
      <w:r w:rsidR="00345DEB">
        <w:rPr>
          <w:rFonts w:ascii="Times New Roman" w:hAnsi="Times New Roman" w:cs="Times New Roman"/>
          <w:sz w:val="28"/>
          <w:szCs w:val="28"/>
        </w:rPr>
        <w:t>.</w:t>
      </w:r>
      <w:r w:rsidR="00B23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345D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необхідність в економічному капіталі для головного відділення </w:t>
      </w:r>
      <w:r w:rsidR="00B233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скла</w:t>
      </w:r>
      <w:r w:rsidR="00345DEB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382224,6 тис. грн.</w:t>
      </w:r>
      <w:r w:rsidR="00345D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5DE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для відділенн</w:t>
      </w:r>
      <w:r w:rsidR="00345D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32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- 345963,4</w:t>
      </w:r>
      <w:r w:rsidR="002C4D10">
        <w:rPr>
          <w:rFonts w:ascii="Times New Roman" w:hAnsi="Times New Roman" w:cs="Times New Roman"/>
          <w:sz w:val="28"/>
          <w:szCs w:val="28"/>
        </w:rPr>
        <w:t xml:space="preserve"> тис.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DC3" w:rsidRDefault="00D13621" w:rsidP="00401DC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чином, на </w:t>
      </w:r>
      <w:r w:rsidR="00401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підставі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запропонованого</w:t>
      </w:r>
      <w:r w:rsidR="00401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методу алокації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економічного </w:t>
      </w:r>
      <w:r w:rsidR="00401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капіталу можна зазначити наступне, підхід АМА</w:t>
      </w:r>
      <w:r w:rsidR="009338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дає</w:t>
      </w:r>
      <w:r w:rsidR="00401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кращий результат ніж ВІА, тому що, він </w:t>
      </w:r>
      <w:r w:rsidR="00401DC3" w:rsidRPr="001A05D7">
        <w:rPr>
          <w:rFonts w:ascii="Times New Roman" w:hAnsi="Times New Roman" w:cs="Times New Roman"/>
          <w:sz w:val="28"/>
          <w:szCs w:val="28"/>
        </w:rPr>
        <w:t>підвищує норматив достатності капіталу, покращує оцінку ринком надійності банку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01DC3">
        <w:rPr>
          <w:rFonts w:ascii="Times New Roman" w:hAnsi="Times New Roman" w:cs="Times New Roman"/>
          <w:sz w:val="28"/>
          <w:szCs w:val="28"/>
        </w:rPr>
        <w:t xml:space="preserve"> </w:t>
      </w:r>
      <w:r w:rsidR="00401DC3" w:rsidRPr="001A05D7">
        <w:rPr>
          <w:rFonts w:ascii="Times New Roman" w:hAnsi="Times New Roman" w:cs="Times New Roman"/>
          <w:sz w:val="28"/>
          <w:szCs w:val="28"/>
        </w:rPr>
        <w:t xml:space="preserve">відображає реальний обсяг ризику банку, враховуючи диверсифікацію портфелів ризиків бізнес-одиниць при розгляді </w:t>
      </w:r>
      <w:r>
        <w:rPr>
          <w:rFonts w:ascii="Times New Roman" w:hAnsi="Times New Roman" w:cs="Times New Roman"/>
          <w:sz w:val="28"/>
          <w:szCs w:val="28"/>
        </w:rPr>
        <w:t>їх у складі загальної структури та</w:t>
      </w:r>
      <w:r w:rsidR="00401DC3">
        <w:rPr>
          <w:rFonts w:ascii="Times New Roman" w:hAnsi="Times New Roman" w:cs="Times New Roman"/>
          <w:sz w:val="28"/>
          <w:szCs w:val="28"/>
        </w:rPr>
        <w:t xml:space="preserve"> </w:t>
      </w:r>
      <w:r w:rsidR="00401DC3" w:rsidRPr="001A05D7">
        <w:rPr>
          <w:rFonts w:ascii="Times New Roman" w:hAnsi="Times New Roman" w:cs="Times New Roman"/>
          <w:sz w:val="28"/>
          <w:szCs w:val="28"/>
        </w:rPr>
        <w:t xml:space="preserve">дає можливість оцінки ризику бізнес-одиниць окремо, виявляючи істотні відмінності між профілями ризику бізнес-одиниць, як окремих </w:t>
      </w:r>
      <w:r w:rsidR="008B1D62">
        <w:rPr>
          <w:rFonts w:ascii="Times New Roman" w:hAnsi="Times New Roman" w:cs="Times New Roman"/>
          <w:sz w:val="28"/>
          <w:szCs w:val="28"/>
        </w:rPr>
        <w:t>банків</w:t>
      </w:r>
      <w:r w:rsidR="00401DC3" w:rsidRPr="001A05D7">
        <w:rPr>
          <w:rFonts w:ascii="Times New Roman" w:hAnsi="Times New Roman" w:cs="Times New Roman"/>
          <w:sz w:val="28"/>
          <w:szCs w:val="28"/>
        </w:rPr>
        <w:t>.</w:t>
      </w:r>
    </w:p>
    <w:p w:rsidR="00A13CE3" w:rsidRDefault="00A13CE3" w:rsidP="00A13CE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3CE3" w:rsidRPr="00D13906" w:rsidRDefault="00A13CE3" w:rsidP="00A13CE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906">
        <w:rPr>
          <w:rFonts w:ascii="Times New Roman" w:hAnsi="Times New Roman" w:cs="Times New Roman"/>
          <w:b/>
          <w:sz w:val="24"/>
          <w:szCs w:val="24"/>
        </w:rPr>
        <w:t>Список використаних джерел</w:t>
      </w:r>
    </w:p>
    <w:p w:rsidR="00A13CE3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906">
        <w:rPr>
          <w:rFonts w:ascii="Times New Roman" w:hAnsi="Times New Roman" w:cs="Times New Roman"/>
          <w:sz w:val="24"/>
          <w:szCs w:val="24"/>
        </w:rPr>
        <w:t>Kalkbrener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axiomatic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M.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Kalkbrener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15.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>. 3. – 2005. – P. 425–437.</w:t>
      </w:r>
    </w:p>
    <w:p w:rsidR="00A13CE3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Kalkbrener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Sensible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portfolios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M.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Kalkbrener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Lotter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Overbeck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// RISK.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>. – 2004. – P. 19–24.</w:t>
      </w:r>
    </w:p>
    <w:p w:rsidR="00A13CE3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Aue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F. LDA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Bank’s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quantifying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F.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Aue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Kalkbrener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>. – 2006. – Р. 49–93.</w:t>
      </w:r>
    </w:p>
    <w:p w:rsidR="005E3986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Shevchenko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Operational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Bayesian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Inference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Shevchenko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P.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SpringerVerlag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Heidelberg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>, 2011. – 452 р.</w:t>
      </w:r>
    </w:p>
    <w:p w:rsidR="005E3986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Christian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Bluhm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Christian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Bluhm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Ludger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Overbeck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Christoph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Wagner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Chapman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Hall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CRC, 2010. – 384 p. </w:t>
      </w:r>
    </w:p>
    <w:p w:rsidR="005E3986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906">
        <w:rPr>
          <w:rFonts w:ascii="Times New Roman" w:hAnsi="Times New Roman" w:cs="Times New Roman"/>
          <w:sz w:val="24"/>
          <w:szCs w:val="24"/>
        </w:rPr>
        <w:t>Tasche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and sub-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portfolios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Euler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7" w:history="1">
        <w:r w:rsidR="005E3986" w:rsidRPr="00D13906">
          <w:rPr>
            <w:rStyle w:val="a8"/>
            <w:rFonts w:ascii="Times New Roman" w:hAnsi="Times New Roman" w:cs="Times New Roman"/>
            <w:sz w:val="24"/>
            <w:szCs w:val="24"/>
          </w:rPr>
          <w:t>http://arxiv.org/PS_cache/arxiv/pdf/0708/0708.2542v3.pdf</w:t>
        </w:r>
      </w:hyperlink>
      <w:r w:rsidRPr="00D13906">
        <w:rPr>
          <w:rFonts w:ascii="Times New Roman" w:hAnsi="Times New Roman" w:cs="Times New Roman"/>
          <w:sz w:val="24"/>
          <w:szCs w:val="24"/>
        </w:rPr>
        <w:t>.</w:t>
      </w:r>
    </w:p>
    <w:p w:rsidR="005E3986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Mausser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H.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Mausser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Rosen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Handbooks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OR &amp; MS.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15,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B.V., 2008. – P. 681–726.</w:t>
      </w:r>
    </w:p>
    <w:p w:rsidR="005E3986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Artzner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Coherent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P.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Artzner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F.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Delbaen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– 1999. – V. 9.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3. – Р. 203–228. </w:t>
      </w:r>
    </w:p>
    <w:p w:rsidR="005E3986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Delbaen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Coherent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Delbaen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F.,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Denault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M.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RiskLab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>, 2000. – 24 p.</w:t>
      </w:r>
    </w:p>
    <w:p w:rsidR="005C0EF8" w:rsidRPr="00D13906" w:rsidRDefault="00A13CE3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Denault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Coherent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M.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Denault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4.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. 1. – 2001. – P. 3–40. 11.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Dimitris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N.C.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Basel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II: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Dimitris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N.C. –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Butterworth-Heinemann, 2004. – 448 p.</w:t>
      </w:r>
    </w:p>
    <w:p w:rsidR="005E3986" w:rsidRPr="00D13906" w:rsidRDefault="005E3986" w:rsidP="005E3986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Default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Transition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and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Recovery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2008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Annual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Global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Corporate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Default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Study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and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Rating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Transitions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[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электронный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ресурс] / Standard&amp;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Poor's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 </w:t>
      </w:r>
      <w:proofErr w:type="spellStart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>April</w:t>
      </w:r>
      <w:proofErr w:type="spellEnd"/>
      <w:r w:rsidRPr="00D13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2009. –  </w:t>
      </w:r>
      <w:r w:rsidRPr="00D1390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URL </w:t>
      </w:r>
      <w:hyperlink r:id="rId8" w:history="1">
        <w:r w:rsidRPr="00D1390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uk-UA"/>
          </w:rPr>
          <w:t>http://www.valuation.co.il/data/wacc/SnPDefault_Transition_and_Recovery_2008.pdf</w:t>
        </w:r>
      </w:hyperlink>
    </w:p>
    <w:p w:rsidR="005E3986" w:rsidRPr="00D13906" w:rsidRDefault="005E3986" w:rsidP="005E398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Шевченко К.С. </w:t>
      </w:r>
      <w:r w:rsidR="00FE088C" w:rsidRPr="00D13906">
        <w:rPr>
          <w:rFonts w:ascii="Times New Roman" w:hAnsi="Times New Roman" w:cs="Times New Roman"/>
          <w:sz w:val="24"/>
          <w:szCs w:val="24"/>
        </w:rPr>
        <w:t xml:space="preserve">«Методи оцінки і управління сукупним фінансовим ризиком комерційного банку»: дисертація Шевченко К.С., </w:t>
      </w:r>
      <w:proofErr w:type="spellStart"/>
      <w:r w:rsidR="00FE088C" w:rsidRPr="00D13906">
        <w:rPr>
          <w:rFonts w:ascii="Times New Roman" w:hAnsi="Times New Roman" w:cs="Times New Roman"/>
          <w:sz w:val="24"/>
          <w:szCs w:val="24"/>
        </w:rPr>
        <w:t>к.е.н</w:t>
      </w:r>
      <w:proofErr w:type="spellEnd"/>
      <w:r w:rsidR="00FE088C" w:rsidRPr="00D13906">
        <w:rPr>
          <w:rFonts w:ascii="Times New Roman" w:hAnsi="Times New Roman" w:cs="Times New Roman"/>
          <w:sz w:val="24"/>
          <w:szCs w:val="24"/>
        </w:rPr>
        <w:t xml:space="preserve">: 08.00.10 / Шевченко Катерина Сергіївна, М. – 2013 р. </w:t>
      </w:r>
      <w:r w:rsidR="00D13621" w:rsidRPr="00D13906">
        <w:rPr>
          <w:rFonts w:ascii="Times New Roman" w:hAnsi="Times New Roman" w:cs="Times New Roman"/>
          <w:sz w:val="24"/>
          <w:szCs w:val="24"/>
        </w:rPr>
        <w:t>–</w:t>
      </w:r>
      <w:r w:rsidR="00FE088C" w:rsidRPr="00D13906">
        <w:rPr>
          <w:rFonts w:ascii="Times New Roman" w:hAnsi="Times New Roman" w:cs="Times New Roman"/>
          <w:sz w:val="24"/>
          <w:szCs w:val="24"/>
        </w:rPr>
        <w:t xml:space="preserve"> 256</w:t>
      </w:r>
      <w:r w:rsidR="00D13621" w:rsidRPr="00D13906">
        <w:rPr>
          <w:rFonts w:ascii="Times New Roman" w:hAnsi="Times New Roman" w:cs="Times New Roman"/>
          <w:sz w:val="24"/>
          <w:szCs w:val="24"/>
        </w:rPr>
        <w:t xml:space="preserve"> </w:t>
      </w:r>
      <w:r w:rsidR="00FE088C" w:rsidRPr="00D13906">
        <w:rPr>
          <w:rFonts w:ascii="Times New Roman" w:hAnsi="Times New Roman" w:cs="Times New Roman"/>
          <w:sz w:val="24"/>
          <w:szCs w:val="24"/>
        </w:rPr>
        <w:t>с.</w:t>
      </w:r>
    </w:p>
    <w:p w:rsidR="00B62C47" w:rsidRPr="00D13906" w:rsidRDefault="00B62C47" w:rsidP="00B62C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Річний звіт НБУ за 2013 р [Електронний ресурс] : офіційний сайт НБУ. – Режим доступу : </w:t>
      </w:r>
      <w:hyperlink r:id="rId9" w:history="1">
        <w:r w:rsidRPr="00D13906">
          <w:rPr>
            <w:rStyle w:val="a8"/>
            <w:rFonts w:ascii="Times New Roman" w:hAnsi="Times New Roman" w:cs="Times New Roman"/>
            <w:sz w:val="24"/>
            <w:szCs w:val="24"/>
          </w:rPr>
          <w:t>http://www.bank.gov.ua/doccatalog/document?id=8253030</w:t>
        </w:r>
      </w:hyperlink>
      <w:r w:rsidRPr="00D13906">
        <w:rPr>
          <w:rFonts w:ascii="Times New Roman" w:hAnsi="Times New Roman" w:cs="Times New Roman"/>
          <w:sz w:val="24"/>
          <w:szCs w:val="24"/>
        </w:rPr>
        <w:t>.</w:t>
      </w:r>
    </w:p>
    <w:p w:rsidR="00B62C47" w:rsidRPr="00D13906" w:rsidRDefault="00B62C47" w:rsidP="00B62C47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Річний звіт НБУ за 2014 р [Електронний ресурс] : офіційний сайт НБУ. – Режим доступу: </w:t>
      </w:r>
      <w:hyperlink r:id="rId10" w:history="1">
        <w:r w:rsidRPr="00D13906">
          <w:rPr>
            <w:rStyle w:val="a8"/>
            <w:rFonts w:ascii="Times New Roman" w:hAnsi="Times New Roman" w:cs="Times New Roman"/>
            <w:sz w:val="24"/>
            <w:szCs w:val="24"/>
          </w:rPr>
          <w:t>http://www.bank.gov.ua/doccatalog/document?id=17568764</w:t>
        </w:r>
      </w:hyperlink>
      <w:r w:rsidRPr="00D13906">
        <w:rPr>
          <w:rFonts w:ascii="Times New Roman" w:hAnsi="Times New Roman" w:cs="Times New Roman"/>
          <w:sz w:val="24"/>
          <w:szCs w:val="24"/>
        </w:rPr>
        <w:t>.</w:t>
      </w:r>
    </w:p>
    <w:p w:rsidR="00C40C66" w:rsidRPr="00D13906" w:rsidRDefault="00B62C47" w:rsidP="00C40C66">
      <w:pPr>
        <w:pStyle w:val="a3"/>
        <w:numPr>
          <w:ilvl w:val="0"/>
          <w:numId w:val="3"/>
        </w:numPr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sz w:val="24"/>
          <w:szCs w:val="24"/>
        </w:rPr>
        <w:t xml:space="preserve">Річний звіт НБУ за 2015 р [Електронний ресурс] : офіційний сайт НБУ. – Режим доступу : </w:t>
      </w:r>
      <w:hyperlink r:id="rId11" w:history="1">
        <w:r w:rsidR="00C40C66" w:rsidRPr="00D13906">
          <w:rPr>
            <w:rStyle w:val="a8"/>
            <w:rFonts w:ascii="Times New Roman" w:hAnsi="Times New Roman" w:cs="Times New Roman"/>
            <w:sz w:val="24"/>
            <w:szCs w:val="24"/>
          </w:rPr>
          <w:t>https://bank.gov.ua/doccatalog/document?id=31669311</w:t>
        </w:r>
      </w:hyperlink>
      <w:r w:rsidR="00C40C66" w:rsidRPr="00D13906">
        <w:rPr>
          <w:rFonts w:ascii="Times New Roman" w:hAnsi="Times New Roman" w:cs="Times New Roman"/>
          <w:sz w:val="24"/>
          <w:szCs w:val="24"/>
        </w:rPr>
        <w:t>.</w:t>
      </w:r>
    </w:p>
    <w:p w:rsidR="00C40C66" w:rsidRPr="00D13906" w:rsidRDefault="00C40C66" w:rsidP="00C40C66">
      <w:pPr>
        <w:pStyle w:val="a3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596E" w:rsidRPr="00D13906" w:rsidRDefault="0024596E" w:rsidP="002459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906">
        <w:rPr>
          <w:rFonts w:ascii="Times New Roman" w:hAnsi="Times New Roman" w:cs="Times New Roman"/>
          <w:b/>
          <w:sz w:val="24"/>
          <w:szCs w:val="24"/>
        </w:rPr>
        <w:t xml:space="preserve">Анотація. </w:t>
      </w:r>
      <w:r w:rsidRPr="00D13906">
        <w:rPr>
          <w:rFonts w:ascii="Times New Roman" w:hAnsi="Times New Roman" w:cs="Times New Roman"/>
          <w:sz w:val="24"/>
          <w:szCs w:val="24"/>
        </w:rPr>
        <w:t>У статті розглядається економічний капітал банку на покриття операційних ризиків, оцінений за допомогою моделі колективного ризику з урахуванням розподілів збитків за окремими бізнес-одиницями банку.</w:t>
      </w:r>
      <w:r w:rsidRPr="00D139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596E" w:rsidRPr="00D13906" w:rsidRDefault="0024596E" w:rsidP="00D13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06">
        <w:rPr>
          <w:rFonts w:ascii="Times New Roman" w:hAnsi="Times New Roman" w:cs="Times New Roman"/>
          <w:b/>
          <w:sz w:val="24"/>
          <w:szCs w:val="24"/>
        </w:rPr>
        <w:t>Ключові слова</w:t>
      </w:r>
      <w:r w:rsidR="00F820A5" w:rsidRPr="00D13906">
        <w:rPr>
          <w:rFonts w:ascii="Times New Roman" w:hAnsi="Times New Roman" w:cs="Times New Roman"/>
          <w:b/>
          <w:sz w:val="24"/>
          <w:szCs w:val="24"/>
        </w:rPr>
        <w:t>:</w:t>
      </w:r>
      <w:r w:rsidRPr="00D13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674D" w:rsidRPr="00D13906">
        <w:rPr>
          <w:rFonts w:ascii="Times New Roman" w:hAnsi="Times New Roman" w:cs="Times New Roman"/>
          <w:sz w:val="24"/>
          <w:szCs w:val="24"/>
        </w:rPr>
        <w:t xml:space="preserve">банк, </w:t>
      </w:r>
      <w:r w:rsidR="00F820A5" w:rsidRPr="00D13906">
        <w:rPr>
          <w:rFonts w:ascii="Times New Roman" w:hAnsi="Times New Roman" w:cs="Times New Roman"/>
          <w:sz w:val="24"/>
          <w:szCs w:val="24"/>
        </w:rPr>
        <w:t xml:space="preserve">економічний </w:t>
      </w:r>
      <w:r w:rsidRPr="00D13906">
        <w:rPr>
          <w:rFonts w:ascii="Times New Roman" w:hAnsi="Times New Roman" w:cs="Times New Roman"/>
          <w:sz w:val="24"/>
          <w:szCs w:val="24"/>
        </w:rPr>
        <w:t xml:space="preserve">капітал, алокація, бізнес-одиниця,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Indicator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F820A5" w:rsidRPr="00D13906">
        <w:rPr>
          <w:rFonts w:ascii="Times New Roman" w:hAnsi="Times New Roman" w:cs="Times New Roman"/>
          <w:sz w:val="24"/>
          <w:szCs w:val="24"/>
        </w:rPr>
        <w:t xml:space="preserve"> (</w:t>
      </w:r>
      <w:r w:rsidR="00F820A5" w:rsidRPr="00D13906">
        <w:rPr>
          <w:rFonts w:ascii="Times New Roman" w:hAnsi="Times New Roman" w:cs="Times New Roman"/>
          <w:sz w:val="24"/>
          <w:szCs w:val="24"/>
          <w:lang w:val="en-US"/>
        </w:rPr>
        <w:t>BIA</w:t>
      </w:r>
      <w:r w:rsidR="00F820A5" w:rsidRPr="00D13906">
        <w:rPr>
          <w:rFonts w:ascii="Times New Roman" w:hAnsi="Times New Roman" w:cs="Times New Roman"/>
          <w:sz w:val="24"/>
          <w:szCs w:val="24"/>
        </w:rPr>
        <w:t>)</w:t>
      </w:r>
      <w:r w:rsidRPr="00D1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D1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90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F820A5" w:rsidRPr="00D13906">
        <w:rPr>
          <w:rFonts w:ascii="Times New Roman" w:hAnsi="Times New Roman" w:cs="Times New Roman"/>
          <w:sz w:val="24"/>
          <w:szCs w:val="24"/>
        </w:rPr>
        <w:t xml:space="preserve"> (</w:t>
      </w:r>
      <w:r w:rsidR="00F820A5" w:rsidRPr="00D13906">
        <w:rPr>
          <w:rFonts w:ascii="Times New Roman" w:hAnsi="Times New Roman" w:cs="Times New Roman"/>
          <w:sz w:val="24"/>
          <w:szCs w:val="24"/>
          <w:lang w:val="en-US"/>
        </w:rPr>
        <w:t>AMA</w:t>
      </w:r>
      <w:r w:rsidR="00F820A5" w:rsidRPr="00D13906">
        <w:rPr>
          <w:rFonts w:ascii="Times New Roman" w:hAnsi="Times New Roman" w:cs="Times New Roman"/>
          <w:sz w:val="24"/>
          <w:szCs w:val="24"/>
        </w:rPr>
        <w:t>)</w:t>
      </w:r>
      <w:r w:rsidRPr="00D13906">
        <w:rPr>
          <w:rFonts w:ascii="Times New Roman" w:hAnsi="Times New Roman" w:cs="Times New Roman"/>
          <w:sz w:val="24"/>
          <w:szCs w:val="24"/>
        </w:rPr>
        <w:t>.</w:t>
      </w:r>
    </w:p>
    <w:sectPr w:rsidR="0024596E" w:rsidRPr="00D13906" w:rsidSect="002B0A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4D7"/>
    <w:multiLevelType w:val="hybridMultilevel"/>
    <w:tmpl w:val="F1CE0D5C"/>
    <w:lvl w:ilvl="0" w:tplc="7FD210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A637E"/>
    <w:multiLevelType w:val="hybridMultilevel"/>
    <w:tmpl w:val="5D8C4F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D21A8"/>
    <w:multiLevelType w:val="hybridMultilevel"/>
    <w:tmpl w:val="BBEE3E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77F33"/>
    <w:multiLevelType w:val="hybridMultilevel"/>
    <w:tmpl w:val="504E1A66"/>
    <w:lvl w:ilvl="0" w:tplc="17208C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47A4"/>
    <w:multiLevelType w:val="hybridMultilevel"/>
    <w:tmpl w:val="E042D49C"/>
    <w:lvl w:ilvl="0" w:tplc="DED4F74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DA0F3E"/>
    <w:multiLevelType w:val="hybridMultilevel"/>
    <w:tmpl w:val="F9C83132"/>
    <w:lvl w:ilvl="0" w:tplc="63EE172A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D224CF2"/>
    <w:multiLevelType w:val="hybridMultilevel"/>
    <w:tmpl w:val="15CC92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95CDA"/>
    <w:multiLevelType w:val="hybridMultilevel"/>
    <w:tmpl w:val="B1B61D38"/>
    <w:lvl w:ilvl="0" w:tplc="63EE172A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079AC"/>
    <w:multiLevelType w:val="hybridMultilevel"/>
    <w:tmpl w:val="082E1B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B87AB2"/>
    <w:multiLevelType w:val="hybridMultilevel"/>
    <w:tmpl w:val="B4F010E6"/>
    <w:lvl w:ilvl="0" w:tplc="04220011">
      <w:start w:val="1"/>
      <w:numFmt w:val="decimal"/>
      <w:lvlText w:val="%1)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7EBF3DAB"/>
    <w:multiLevelType w:val="hybridMultilevel"/>
    <w:tmpl w:val="FF4A6508"/>
    <w:lvl w:ilvl="0" w:tplc="63EE172A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0A2E51"/>
    <w:rsid w:val="0000674D"/>
    <w:rsid w:val="0003258C"/>
    <w:rsid w:val="00040DB9"/>
    <w:rsid w:val="000A2E51"/>
    <w:rsid w:val="00105EFC"/>
    <w:rsid w:val="00112739"/>
    <w:rsid w:val="00121777"/>
    <w:rsid w:val="001255C5"/>
    <w:rsid w:val="001723B8"/>
    <w:rsid w:val="00184C0F"/>
    <w:rsid w:val="001A05D7"/>
    <w:rsid w:val="001B0D24"/>
    <w:rsid w:val="001B5BCD"/>
    <w:rsid w:val="001C59AF"/>
    <w:rsid w:val="002218AE"/>
    <w:rsid w:val="0024596E"/>
    <w:rsid w:val="00253A2D"/>
    <w:rsid w:val="00266A95"/>
    <w:rsid w:val="00267048"/>
    <w:rsid w:val="00270A32"/>
    <w:rsid w:val="002A48F0"/>
    <w:rsid w:val="002B0A76"/>
    <w:rsid w:val="002C4D10"/>
    <w:rsid w:val="002C6BB2"/>
    <w:rsid w:val="002D605F"/>
    <w:rsid w:val="00306CDD"/>
    <w:rsid w:val="00311C19"/>
    <w:rsid w:val="00325E46"/>
    <w:rsid w:val="00343210"/>
    <w:rsid w:val="00345DEB"/>
    <w:rsid w:val="00355318"/>
    <w:rsid w:val="00375F61"/>
    <w:rsid w:val="00392CE5"/>
    <w:rsid w:val="00401DC3"/>
    <w:rsid w:val="00415CB8"/>
    <w:rsid w:val="004C0AE2"/>
    <w:rsid w:val="004F61DB"/>
    <w:rsid w:val="005224A7"/>
    <w:rsid w:val="00522FBC"/>
    <w:rsid w:val="00587B08"/>
    <w:rsid w:val="005B07A8"/>
    <w:rsid w:val="005C0EF8"/>
    <w:rsid w:val="005C17C9"/>
    <w:rsid w:val="005C332B"/>
    <w:rsid w:val="005E3986"/>
    <w:rsid w:val="006559EC"/>
    <w:rsid w:val="0066265C"/>
    <w:rsid w:val="00682DAC"/>
    <w:rsid w:val="006E4B36"/>
    <w:rsid w:val="007271AE"/>
    <w:rsid w:val="00735550"/>
    <w:rsid w:val="00795011"/>
    <w:rsid w:val="0083611D"/>
    <w:rsid w:val="00845F05"/>
    <w:rsid w:val="008535D8"/>
    <w:rsid w:val="00875D25"/>
    <w:rsid w:val="00881FAC"/>
    <w:rsid w:val="008B0170"/>
    <w:rsid w:val="008B1D62"/>
    <w:rsid w:val="008D1CF5"/>
    <w:rsid w:val="008E1506"/>
    <w:rsid w:val="00903F3D"/>
    <w:rsid w:val="00912F8C"/>
    <w:rsid w:val="00933857"/>
    <w:rsid w:val="00947344"/>
    <w:rsid w:val="009701D4"/>
    <w:rsid w:val="00977ADD"/>
    <w:rsid w:val="0098294E"/>
    <w:rsid w:val="009F1073"/>
    <w:rsid w:val="00A05ED0"/>
    <w:rsid w:val="00A13CE3"/>
    <w:rsid w:val="00A70BB3"/>
    <w:rsid w:val="00A876CF"/>
    <w:rsid w:val="00AB7A3C"/>
    <w:rsid w:val="00B0743C"/>
    <w:rsid w:val="00B23324"/>
    <w:rsid w:val="00B62C47"/>
    <w:rsid w:val="00B65B8C"/>
    <w:rsid w:val="00B920DA"/>
    <w:rsid w:val="00BD0B07"/>
    <w:rsid w:val="00C03A5A"/>
    <w:rsid w:val="00C358FE"/>
    <w:rsid w:val="00C40C66"/>
    <w:rsid w:val="00C40FBC"/>
    <w:rsid w:val="00C722BA"/>
    <w:rsid w:val="00C778A9"/>
    <w:rsid w:val="00CC77E8"/>
    <w:rsid w:val="00CF1A51"/>
    <w:rsid w:val="00D050D5"/>
    <w:rsid w:val="00D13621"/>
    <w:rsid w:val="00D13906"/>
    <w:rsid w:val="00D25F51"/>
    <w:rsid w:val="00D3391D"/>
    <w:rsid w:val="00D57FFE"/>
    <w:rsid w:val="00D6517B"/>
    <w:rsid w:val="00D66EBD"/>
    <w:rsid w:val="00D707B6"/>
    <w:rsid w:val="00DD34A0"/>
    <w:rsid w:val="00E1298A"/>
    <w:rsid w:val="00E5006E"/>
    <w:rsid w:val="00E50935"/>
    <w:rsid w:val="00E74A72"/>
    <w:rsid w:val="00ED7E77"/>
    <w:rsid w:val="00EF67E9"/>
    <w:rsid w:val="00F63E51"/>
    <w:rsid w:val="00F820A5"/>
    <w:rsid w:val="00FC51F8"/>
    <w:rsid w:val="00FE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1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C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1B5BCD"/>
    <w:rPr>
      <w:color w:val="808080"/>
    </w:rPr>
  </w:style>
  <w:style w:type="character" w:styleId="a8">
    <w:name w:val="Hyperlink"/>
    <w:basedOn w:val="a0"/>
    <w:uiPriority w:val="99"/>
    <w:unhideWhenUsed/>
    <w:rsid w:val="005E3986"/>
    <w:rPr>
      <w:color w:val="0000FF" w:themeColor="hyperlink"/>
      <w:u w:val="single"/>
    </w:rPr>
  </w:style>
  <w:style w:type="paragraph" w:styleId="a9">
    <w:name w:val="Body Text"/>
    <w:basedOn w:val="a"/>
    <w:link w:val="aa"/>
    <w:rsid w:val="002B0A76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a">
    <w:name w:val="Основной текст Знак"/>
    <w:basedOn w:val="a0"/>
    <w:link w:val="a9"/>
    <w:rsid w:val="002B0A76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C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1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C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B5BCD"/>
    <w:rPr>
      <w:color w:val="808080"/>
    </w:rPr>
  </w:style>
  <w:style w:type="character" w:styleId="a8">
    <w:name w:val="Hyperlink"/>
    <w:basedOn w:val="a0"/>
    <w:uiPriority w:val="99"/>
    <w:unhideWhenUsed/>
    <w:rsid w:val="005E39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uation.co.il/data/wacc/SnPDefault_Transition_and_Recovery_200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rxiv.org/PS_cache/arxiv/pdf/0708/0708.2542v3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egon19021992@gmail.com" TargetMode="External"/><Relationship Id="rId11" Type="http://schemas.openxmlformats.org/officeDocument/2006/relationships/hyperlink" Target="https://bank.gov.ua/doccatalog/document?id=316693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nk.gov.ua/doccatalog/document?id=175687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.gov.ua/doccatalog/document?id=825303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18BD-AC30-4DEF-A502-64500FAF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13815</Words>
  <Characters>7875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Марян</cp:lastModifiedBy>
  <cp:revision>15</cp:revision>
  <dcterms:created xsi:type="dcterms:W3CDTF">2017-04-12T07:28:00Z</dcterms:created>
  <dcterms:modified xsi:type="dcterms:W3CDTF">2017-04-12T09:46:00Z</dcterms:modified>
</cp:coreProperties>
</file>