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73" w:rsidRPr="00F54CA3" w:rsidRDefault="00735718" w:rsidP="00F54CA3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F54C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D4973" w:rsidRPr="00F54CA3" w:rsidRDefault="004D4973" w:rsidP="00F54CA3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Українська мова та література</w:t>
      </w:r>
    </w:p>
    <w:p w:rsidR="004D4973" w:rsidRPr="00F54CA3" w:rsidRDefault="004D4973" w:rsidP="00F54CA3">
      <w:pPr>
        <w:pStyle w:val="a3"/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54CA3">
        <w:rPr>
          <w:rFonts w:ascii="Times New Roman" w:hAnsi="Times New Roman"/>
          <w:b/>
          <w:sz w:val="28"/>
          <w:szCs w:val="28"/>
          <w:lang w:val="uk-UA"/>
        </w:rPr>
        <w:t>Стефурак</w:t>
      </w:r>
      <w:proofErr w:type="spellEnd"/>
      <w:r w:rsidRPr="00F54CA3">
        <w:rPr>
          <w:rFonts w:ascii="Times New Roman" w:hAnsi="Times New Roman"/>
          <w:b/>
          <w:sz w:val="28"/>
          <w:szCs w:val="28"/>
          <w:lang w:val="uk-UA"/>
        </w:rPr>
        <w:t xml:space="preserve"> Р.І.</w:t>
      </w:r>
    </w:p>
    <w:p w:rsidR="004D4973" w:rsidRPr="00F54CA3" w:rsidRDefault="004D4973" w:rsidP="00F54CA3">
      <w:pPr>
        <w:pStyle w:val="a3"/>
        <w:spacing w:before="100" w:beforeAutospacing="1" w:after="100" w:afterAutospacing="1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кандидат філологічних наук,</w:t>
      </w:r>
    </w:p>
    <w:p w:rsidR="004D4973" w:rsidRPr="00F54CA3" w:rsidRDefault="004D4973" w:rsidP="00F54CA3">
      <w:pPr>
        <w:pStyle w:val="a3"/>
        <w:spacing w:before="100" w:beforeAutospacing="1" w:after="100" w:afterAutospacing="1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доцент кафедри української мови ДВНЗ «Прикарпатський національний університет імені Василя Стефаника»;</w:t>
      </w:r>
    </w:p>
    <w:p w:rsidR="004D4973" w:rsidRPr="00F54CA3" w:rsidRDefault="004D4973" w:rsidP="00F54CA3">
      <w:pPr>
        <w:pStyle w:val="a3"/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54CA3">
        <w:rPr>
          <w:rFonts w:ascii="Times New Roman" w:hAnsi="Times New Roman"/>
          <w:b/>
          <w:sz w:val="28"/>
          <w:szCs w:val="28"/>
          <w:lang w:val="uk-UA"/>
        </w:rPr>
        <w:t>Ходан</w:t>
      </w:r>
      <w:proofErr w:type="spellEnd"/>
      <w:r w:rsidRPr="00F54CA3">
        <w:rPr>
          <w:rFonts w:ascii="Times New Roman" w:hAnsi="Times New Roman"/>
          <w:b/>
          <w:sz w:val="28"/>
          <w:szCs w:val="28"/>
          <w:lang w:val="uk-UA"/>
        </w:rPr>
        <w:t xml:space="preserve"> І. І.</w:t>
      </w:r>
    </w:p>
    <w:p w:rsidR="004D4973" w:rsidRPr="00F54CA3" w:rsidRDefault="004D4973" w:rsidP="00F54CA3">
      <w:pPr>
        <w:pStyle w:val="a3"/>
        <w:spacing w:before="100" w:beforeAutospacing="1" w:after="100" w:afterAutospacing="1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магістр ОП «Українська мова і література. Середня освіта» ДВНЗ «Прикарпатський національний університет імені Василя Стефаника»</w:t>
      </w:r>
    </w:p>
    <w:p w:rsidR="004D4973" w:rsidRPr="00F54CA3" w:rsidRDefault="004D4973" w:rsidP="00F54CA3">
      <w:pPr>
        <w:pStyle w:val="a3"/>
        <w:spacing w:before="100" w:beforeAutospacing="1" w:after="100" w:afterAutospacing="1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м. Івано-Франківськ, Україна</w:t>
      </w:r>
    </w:p>
    <w:p w:rsidR="004D4973" w:rsidRPr="00F54CA3" w:rsidRDefault="004D4973" w:rsidP="00F54CA3">
      <w:pPr>
        <w:pStyle w:val="a3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735718" w:rsidRPr="00F54CA3" w:rsidRDefault="00735718" w:rsidP="00F54CA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CA3">
        <w:rPr>
          <w:rFonts w:ascii="Times New Roman" w:hAnsi="Times New Roman"/>
          <w:b/>
          <w:sz w:val="28"/>
          <w:szCs w:val="28"/>
          <w:lang w:val="uk-UA"/>
        </w:rPr>
        <w:t>Аспекти слов</w:t>
      </w:r>
      <w:r w:rsidR="00756A23">
        <w:rPr>
          <w:rFonts w:ascii="Times New Roman" w:hAnsi="Times New Roman"/>
          <w:b/>
          <w:sz w:val="28"/>
          <w:szCs w:val="28"/>
          <w:lang w:val="uk-UA"/>
        </w:rPr>
        <w:t>никової роботи на уроках української мови в середній школі</w:t>
      </w:r>
      <w:r w:rsidRPr="00F54C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35718" w:rsidRPr="00F54CA3" w:rsidRDefault="00735718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Ключовою одиницею </w:t>
      </w:r>
      <w:proofErr w:type="spellStart"/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комунікування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є слово,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мовознавчий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опис якого є в різних лінгвістичних словниках. Саме тому при вивченні </w:t>
      </w:r>
      <w:r w:rsidR="00ED1282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української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мови вчитель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-словесник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апелює до тлумачного, орфографічного чи іншого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D1282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виду </w:t>
      </w:r>
      <w:r w:rsidR="00756A2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лексикографічної продукції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демонструючи учням </w:t>
      </w:r>
      <w:r w:rsidR="00756A2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її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 w:rsidR="004111E6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ажливість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735718" w:rsidRPr="00F54CA3" w:rsidRDefault="00735718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лінгводидактиці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сьогодні немає однозначного погляду на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термін «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ловникова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бота»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Праці з цієї теми </w:t>
      </w:r>
      <w:r w:rsidR="00ED1282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 основному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адаптовано до початкової школи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(Н.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Костроміна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Купров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О. Васюта, Е. Сидор, Г. Ткачук В.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Душенко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Л.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Камєнева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З.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Дубовець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Канакіна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Л. Павленко, Н.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Паскал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Г. Козар, О. Коваленко, Ю.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Конкіна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О. Корольова, Н.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Місяк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Т. Потапова, Н.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Самосенко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та інші). </w:t>
      </w:r>
    </w:p>
    <w:p w:rsidR="00101FEC" w:rsidRPr="00F54CA3" w:rsidRDefault="00ED1282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будь якій ланці середньої школи словниковою роботою методисти називають систему, засіб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навчання,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комплекс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методів чи сфе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ру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методики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елементи яких пов’язані зі словником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101FEC" w:rsidRPr="00F54CA3" w:rsidRDefault="00ED1282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Словникова робота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уроках української мови в сучасній школі зазвичай має два вектори: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словниково-орфографічний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перевір</w:t>
      </w:r>
      <w:proofErr w:type="spellEnd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рфограми!)</w:t>
      </w:r>
      <w:r w:rsidR="00756A2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словниково-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граматичний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перевір</w:t>
      </w:r>
      <w:proofErr w:type="spellEnd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закінчення!)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– 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М. </w:t>
      </w:r>
      <w:proofErr w:type="spellStart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Разумовська</w:t>
      </w:r>
      <w:proofErr w:type="spellEnd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С. Іванова, Н. </w:t>
      </w:r>
      <w:proofErr w:type="spellStart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Кітаєв</w:t>
      </w:r>
      <w:proofErr w:type="spellEnd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Н. </w:t>
      </w:r>
      <w:proofErr w:type="spellStart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Бублеєва</w:t>
      </w:r>
      <w:proofErr w:type="spellEnd"/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П. Іванов).</w:t>
      </w:r>
    </w:p>
    <w:p w:rsidR="00101FEC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Орфографічний аспект словникової роботи досліджують В.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Канакіна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Ц. Міллер, О.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Левушкіна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 В.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Каверина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Г.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Азанова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Е. Виноградова.</w:t>
      </w:r>
    </w:p>
    <w:p w:rsidR="00101FEC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Контекстуальний аспект словникової роботи аналізують А.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Устінов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Н.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Черноусова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101FEC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Психологічні умови формування словникової роботи в школі вивчають А.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Питьман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В. Ковальов, З.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Молокова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І. Бугайова, М.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Бурлаков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Н. Бондаренко, Т. Потапова.</w:t>
      </w:r>
    </w:p>
    <w:p w:rsidR="00101FEC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Словникова робота в середній школі часто пов’язана</w:t>
      </w:r>
      <w:r w:rsidR="00ED1282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 літературним чи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танням (Н.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Квітинський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К. Мальцев, А.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Лєбєдєв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Л.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Гайдарова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інші).</w:t>
      </w:r>
    </w:p>
    <w:p w:rsidR="00101FEC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Чиннова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вважає цей вид роботи засобом розширення лексикону школяра.</w:t>
      </w:r>
    </w:p>
    <w:p w:rsidR="00101FEC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Лексико-семантичний аспект словникової роботи, зокрема визначення тематичних і лексико-семантичних груп є предметом вивчення О.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Містратова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О.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Мінухіна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А.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Семіна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К.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Садикова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В. Яковлєва, Л. Логвинова.</w:t>
      </w:r>
    </w:p>
    <w:p w:rsidR="004111E6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Комунікативний підхід до навчання рідної мови вивчає Н. Бондаренко. На його думку, словникова робота </w:t>
      </w:r>
      <w:r w:rsidR="00ED1282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«це копітка робота зі словом і над словом, починаючи від його сприймання на слух, відтворення через з’ясування основних властивих йому значень, граматичних ознак, взаємозв’язків з іншими елементами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мовної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системи, особливостями сполучуваності та прав</w:t>
      </w:r>
      <w:r w:rsidR="00756A2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опису до правильного вживання в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мовленні» [</w:t>
      </w:r>
      <w:r w:rsidRPr="00F54CA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6, </w:t>
      </w:r>
      <w:r w:rsidR="00ED1282" w:rsidRPr="00F54CA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с.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5].</w:t>
      </w:r>
    </w:p>
    <w:p w:rsidR="00735718" w:rsidRPr="00F54CA3" w:rsidRDefault="00101FEC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 бачимо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35718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вчителі, які навчають української мови учнів 5-9 </w:t>
      </w:r>
      <w:r w:rsidR="00735718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класів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35718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не </w:t>
      </w:r>
      <w:r w:rsidR="00735718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мають достатнього методичного забезпечення (друкованої продукції), присвяченого видам словникової роботи, адаптованих до програми рідної мови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 середній загальноосвітній школі, тому змушені розробляти систему вправ чи інших видів роботи самостійно</w:t>
      </w:r>
      <w:r w:rsidR="00735718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735718" w:rsidRPr="00F54CA3" w:rsidRDefault="00735718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Педагоги частково використовують стандартні форми, відхиляючи творчу адаптацію словникової роботи до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мовного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портрета  п’ятикласника чи дев’ятикласника. Тому й виникає дисонанс між високими державними стандарт</w:t>
      </w:r>
      <w:r w:rsidR="00756A2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ами розвитку мовлення школяра й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низьким рівнем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його в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міння оперувати словом,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«бачити» відтінки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значення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слова, його</w:t>
      </w:r>
      <w:r w:rsidR="00756A2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валентного потенціалу в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констекті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 стилістичну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маркованість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735718" w:rsidRPr="00F54CA3" w:rsidRDefault="00735718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Слід зазначити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що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нас є підручники з методики викладання української мови (за ред. І. Олійника, О. Бєляєва, М.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Пентилюк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), де про такі проблеми йдеться. Дотичних до нашої роботи аспектів торкаються С. Д.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Анурова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Л. Г.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Саяхова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монографії «Словниково-фразеологічн</w:t>
      </w:r>
      <w:r w:rsidR="001F3FD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 робота в національній школі», проте питання словникової роботи на уроках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української мови в школі з урахуванням нових вимог навчання достатньо не вивчене. </w:t>
      </w:r>
    </w:p>
    <w:p w:rsidR="00735718" w:rsidRPr="00F54CA3" w:rsidRDefault="00735718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Отже, огляд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лінгвометодичних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джерел дозволяє підсумувати, що в науково-дидактичній літературі подано «бачення» словникової роботи в двох значеннях: вузькому і широкому.</w:t>
      </w:r>
    </w:p>
    <w:p w:rsidR="00735718" w:rsidRPr="00F54CA3" w:rsidRDefault="00735718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Вузьке розуміння словникової роботи пов’язане з правописом слів із традиційним написанням (орфографічні словники).</w:t>
      </w:r>
    </w:p>
    <w:p w:rsidR="00735718" w:rsidRPr="00F54CA3" w:rsidRDefault="00735718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широкому розумінні словниковою роботою вважають вивчення слова з метою правильного його вживання в мовленнєвій діяльності.</w:t>
      </w:r>
    </w:p>
    <w:p w:rsidR="00735718" w:rsidRPr="00F54CA3" w:rsidRDefault="00756A23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</w:t>
      </w:r>
      <w:r w:rsidR="00735718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ета словникової роботи – тотальне розширення лексичного запасу учнів. 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Саме тому, вважаємо, що важливим елементом навчання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української мови</w:t>
      </w:r>
      <w:r w:rsidR="00101FEC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середній школі є розробка системи творчих завдань, пов’язаних з усіма лінгвістичними словниками, що дасть змогу не тільки розширити лексикон чи фразеологічний простір мовлення учня, а й навчить здобувача середньо</w:t>
      </w:r>
      <w:r w:rsidR="002E227B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ї освіти керуватися </w:t>
      </w:r>
      <w:proofErr w:type="spellStart"/>
      <w:r w:rsidR="002E227B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мовними</w:t>
      </w:r>
      <w:proofErr w:type="spellEnd"/>
      <w:r w:rsidR="002E227B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нормами в </w:t>
      </w:r>
      <w:proofErr w:type="spellStart"/>
      <w:r w:rsidR="002E227B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комунікуванні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якісно творити текст</w:t>
      </w:r>
      <w:r w:rsidR="002E227B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ED1282" w:rsidRPr="00F54CA3" w:rsidRDefault="00ED1282" w:rsidP="00F54CA3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Пропонуємо одне з творчих завдань словникової роботи:</w:t>
      </w:r>
    </w:p>
    <w:p w:rsidR="004413B7" w:rsidRPr="00F54CA3" w:rsidRDefault="004413B7" w:rsidP="00F54C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4CA3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допомогою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наведених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дефініцій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 xml:space="preserve"> </w:t>
      </w:r>
      <w:r w:rsidRPr="00F54CA3">
        <w:rPr>
          <w:rFonts w:ascii="Times New Roman" w:hAnsi="Times New Roman"/>
          <w:b/>
          <w:sz w:val="28"/>
          <w:szCs w:val="28"/>
          <w:lang w:val="uk-UA"/>
        </w:rPr>
        <w:t xml:space="preserve">зі Словника іншомовних слів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випишіть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lastRenderedPageBreak/>
        <w:t>вокабули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тюркського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походження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>: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В</w:t>
      </w:r>
      <w:r w:rsidRPr="00F54CA3">
        <w:rPr>
          <w:rFonts w:ascii="Times New Roman" w:hAnsi="Times New Roman"/>
          <w:sz w:val="28"/>
          <w:szCs w:val="28"/>
        </w:rPr>
        <w:t xml:space="preserve">ид </w:t>
      </w:r>
      <w:proofErr w:type="spellStart"/>
      <w:r w:rsidRPr="00F54CA3">
        <w:rPr>
          <w:rFonts w:ascii="Times New Roman" w:hAnsi="Times New Roman"/>
          <w:sz w:val="28"/>
          <w:szCs w:val="28"/>
        </w:rPr>
        <w:t>легкої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кавалерії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озброєної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списами</w:t>
      </w:r>
      <w:proofErr w:type="spellEnd"/>
      <w:r w:rsidRPr="00F54CA3">
        <w:rPr>
          <w:rFonts w:ascii="Times New Roman" w:hAnsi="Times New Roman"/>
          <w:sz w:val="28"/>
          <w:szCs w:val="28"/>
        </w:rPr>
        <w:t>;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F54CA3">
        <w:rPr>
          <w:rFonts w:ascii="Times New Roman" w:hAnsi="Times New Roman"/>
          <w:sz w:val="28"/>
          <w:szCs w:val="28"/>
        </w:rPr>
        <w:t>истяні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ліси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(з </w:t>
      </w:r>
      <w:proofErr w:type="spellStart"/>
      <w:r w:rsidRPr="00F54CA3">
        <w:rPr>
          <w:rFonts w:ascii="Times New Roman" w:hAnsi="Times New Roman"/>
          <w:sz w:val="28"/>
          <w:szCs w:val="28"/>
        </w:rPr>
        <w:t>тополі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верби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черемхи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тощо</w:t>
      </w:r>
      <w:proofErr w:type="spellEnd"/>
      <w:r w:rsidRPr="00F54CA3">
        <w:rPr>
          <w:rFonts w:ascii="Times New Roman" w:hAnsi="Times New Roman"/>
          <w:sz w:val="28"/>
          <w:szCs w:val="28"/>
        </w:rPr>
        <w:t>);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F54CA3">
        <w:rPr>
          <w:rFonts w:ascii="Times New Roman" w:hAnsi="Times New Roman"/>
          <w:sz w:val="28"/>
          <w:szCs w:val="28"/>
        </w:rPr>
        <w:t>исокі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чоботи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54CA3">
        <w:rPr>
          <w:rFonts w:ascii="Times New Roman" w:hAnsi="Times New Roman"/>
          <w:sz w:val="28"/>
          <w:szCs w:val="28"/>
        </w:rPr>
        <w:t>м’якої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шкіри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або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кольорового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сап’яну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інколи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54CA3">
        <w:rPr>
          <w:rFonts w:ascii="Times New Roman" w:hAnsi="Times New Roman"/>
          <w:sz w:val="28"/>
          <w:szCs w:val="28"/>
        </w:rPr>
        <w:t>м’якою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підошвою</w:t>
      </w:r>
      <w:proofErr w:type="spellEnd"/>
      <w:r w:rsidRPr="00F54CA3">
        <w:rPr>
          <w:rFonts w:ascii="Times New Roman" w:hAnsi="Times New Roman"/>
          <w:sz w:val="28"/>
          <w:szCs w:val="28"/>
        </w:rPr>
        <w:t>;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Ш</w:t>
      </w:r>
      <w:proofErr w:type="spellStart"/>
      <w:r w:rsidRPr="00F54CA3">
        <w:rPr>
          <w:rFonts w:ascii="Times New Roman" w:hAnsi="Times New Roman"/>
          <w:sz w:val="28"/>
          <w:szCs w:val="28"/>
        </w:rPr>
        <w:t>анобливе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звертання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до старших за </w:t>
      </w:r>
      <w:proofErr w:type="spellStart"/>
      <w:r w:rsidRPr="00F54CA3">
        <w:rPr>
          <w:rFonts w:ascii="Times New Roman" w:hAnsi="Times New Roman"/>
          <w:sz w:val="28"/>
          <w:szCs w:val="28"/>
        </w:rPr>
        <w:t>віком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поважних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авторитетних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чоловіків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54CA3">
        <w:rPr>
          <w:rFonts w:ascii="Times New Roman" w:hAnsi="Times New Roman"/>
          <w:sz w:val="28"/>
          <w:szCs w:val="28"/>
        </w:rPr>
        <w:t>тюркських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народах; </w:t>
      </w:r>
      <w:proofErr w:type="spellStart"/>
      <w:r w:rsidRPr="00F54CA3">
        <w:rPr>
          <w:rFonts w:ascii="Times New Roman" w:hAnsi="Times New Roman"/>
          <w:sz w:val="28"/>
          <w:szCs w:val="28"/>
        </w:rPr>
        <w:t>уживання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перед </w:t>
      </w:r>
      <w:proofErr w:type="spellStart"/>
      <w:r w:rsidRPr="00F54CA3">
        <w:rPr>
          <w:rFonts w:ascii="Times New Roman" w:hAnsi="Times New Roman"/>
          <w:sz w:val="28"/>
          <w:szCs w:val="28"/>
        </w:rPr>
        <w:t>ім’ям</w:t>
      </w:r>
      <w:proofErr w:type="spellEnd"/>
      <w:r w:rsidRPr="00F54CA3">
        <w:rPr>
          <w:rFonts w:ascii="Times New Roman" w:hAnsi="Times New Roman"/>
          <w:sz w:val="28"/>
          <w:szCs w:val="28"/>
        </w:rPr>
        <w:t>;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F54CA3">
        <w:rPr>
          <w:rFonts w:ascii="Times New Roman" w:hAnsi="Times New Roman"/>
          <w:sz w:val="28"/>
          <w:szCs w:val="28"/>
        </w:rPr>
        <w:t>вято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урочистість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– два </w:t>
      </w:r>
      <w:proofErr w:type="spellStart"/>
      <w:r w:rsidRPr="00F54CA3">
        <w:rPr>
          <w:rFonts w:ascii="Times New Roman" w:hAnsi="Times New Roman"/>
          <w:sz w:val="28"/>
          <w:szCs w:val="28"/>
        </w:rPr>
        <w:t>триденні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свята в мусульман;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</w:rPr>
        <w:t xml:space="preserve">1) у </w:t>
      </w:r>
      <w:proofErr w:type="spellStart"/>
      <w:r w:rsidRPr="00F54CA3">
        <w:rPr>
          <w:rFonts w:ascii="Times New Roman" w:hAnsi="Times New Roman"/>
          <w:sz w:val="28"/>
          <w:szCs w:val="28"/>
        </w:rPr>
        <w:t>давнину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54CA3">
        <w:rPr>
          <w:rFonts w:ascii="Times New Roman" w:hAnsi="Times New Roman"/>
          <w:sz w:val="28"/>
          <w:szCs w:val="28"/>
        </w:rPr>
        <w:t>тюркських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народів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54CA3">
        <w:rPr>
          <w:rFonts w:ascii="Times New Roman" w:hAnsi="Times New Roman"/>
          <w:sz w:val="28"/>
          <w:szCs w:val="28"/>
        </w:rPr>
        <w:t>монголів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звання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яке давали за </w:t>
      </w:r>
      <w:proofErr w:type="spellStart"/>
      <w:r w:rsidRPr="00F54CA3">
        <w:rPr>
          <w:rFonts w:ascii="Times New Roman" w:hAnsi="Times New Roman"/>
          <w:sz w:val="28"/>
          <w:szCs w:val="28"/>
        </w:rPr>
        <w:t>особливі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військові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заслуги; 2) у </w:t>
      </w:r>
      <w:proofErr w:type="spellStart"/>
      <w:proofErr w:type="gramStart"/>
      <w:r w:rsidRPr="00F54CA3">
        <w:rPr>
          <w:rFonts w:ascii="Times New Roman" w:hAnsi="Times New Roman"/>
          <w:sz w:val="28"/>
          <w:szCs w:val="28"/>
        </w:rPr>
        <w:t>тюркському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54CA3">
        <w:rPr>
          <w:rFonts w:ascii="Times New Roman" w:hAnsi="Times New Roman"/>
          <w:sz w:val="28"/>
          <w:szCs w:val="28"/>
        </w:rPr>
        <w:t>фольклорі</w:t>
      </w:r>
      <w:proofErr w:type="spellEnd"/>
      <w:proofErr w:type="gramEnd"/>
      <w:r w:rsidRPr="00F54CA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54CA3">
        <w:rPr>
          <w:rFonts w:ascii="Times New Roman" w:hAnsi="Times New Roman"/>
          <w:sz w:val="28"/>
          <w:szCs w:val="28"/>
        </w:rPr>
        <w:t>богатир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герой, </w:t>
      </w:r>
      <w:proofErr w:type="spellStart"/>
      <w:r w:rsidRPr="00F54CA3">
        <w:rPr>
          <w:rFonts w:ascii="Times New Roman" w:hAnsi="Times New Roman"/>
          <w:sz w:val="28"/>
          <w:szCs w:val="28"/>
        </w:rPr>
        <w:t>сміливець</w:t>
      </w:r>
      <w:proofErr w:type="spellEnd"/>
      <w:r w:rsidRPr="00F54CA3">
        <w:rPr>
          <w:rFonts w:ascii="Times New Roman" w:hAnsi="Times New Roman"/>
          <w:sz w:val="28"/>
          <w:szCs w:val="28"/>
        </w:rPr>
        <w:t>;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F54CA3">
        <w:rPr>
          <w:rFonts w:ascii="Times New Roman" w:hAnsi="Times New Roman"/>
          <w:sz w:val="28"/>
          <w:szCs w:val="28"/>
        </w:rPr>
        <w:t>ілянка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поля, на </w:t>
      </w:r>
      <w:proofErr w:type="spellStart"/>
      <w:r w:rsidRPr="00F54CA3">
        <w:rPr>
          <w:rFonts w:ascii="Times New Roman" w:hAnsi="Times New Roman"/>
          <w:sz w:val="28"/>
          <w:szCs w:val="28"/>
        </w:rPr>
        <w:t>якій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вирощують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кавуни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дині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і т. </w:t>
      </w:r>
      <w:proofErr w:type="spellStart"/>
      <w:proofErr w:type="gramStart"/>
      <w:r w:rsidRPr="00F54CA3">
        <w:rPr>
          <w:rFonts w:ascii="Times New Roman" w:hAnsi="Times New Roman"/>
          <w:sz w:val="28"/>
          <w:szCs w:val="28"/>
        </w:rPr>
        <w:t>ін</w:t>
      </w:r>
      <w:proofErr w:type="spellEnd"/>
      <w:r w:rsidRPr="00F54CA3">
        <w:rPr>
          <w:rFonts w:ascii="Times New Roman" w:hAnsi="Times New Roman"/>
          <w:sz w:val="28"/>
          <w:szCs w:val="28"/>
        </w:rPr>
        <w:t>.;</w:t>
      </w:r>
      <w:proofErr w:type="gramEnd"/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</w:rPr>
        <w:t xml:space="preserve"> </w:t>
      </w:r>
      <w:r w:rsidRPr="00F54CA3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F54CA3">
        <w:rPr>
          <w:rFonts w:ascii="Times New Roman" w:hAnsi="Times New Roman"/>
          <w:sz w:val="28"/>
          <w:szCs w:val="28"/>
        </w:rPr>
        <w:t>кладно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узорчаста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тканина, </w:t>
      </w:r>
      <w:proofErr w:type="spellStart"/>
      <w:r w:rsidRPr="00F54CA3">
        <w:rPr>
          <w:rFonts w:ascii="Times New Roman" w:hAnsi="Times New Roman"/>
          <w:sz w:val="28"/>
          <w:szCs w:val="28"/>
        </w:rPr>
        <w:t>зроблена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54CA3">
        <w:rPr>
          <w:rFonts w:ascii="Times New Roman" w:hAnsi="Times New Roman"/>
          <w:sz w:val="28"/>
          <w:szCs w:val="28"/>
        </w:rPr>
        <w:t>шовкових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A3">
        <w:rPr>
          <w:rFonts w:ascii="Times New Roman" w:hAnsi="Times New Roman"/>
          <w:sz w:val="28"/>
          <w:szCs w:val="28"/>
        </w:rPr>
        <w:t>золотих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чи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срібних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чи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таких, </w:t>
      </w:r>
      <w:proofErr w:type="spellStart"/>
      <w:r w:rsidRPr="00F54CA3">
        <w:rPr>
          <w:rFonts w:ascii="Times New Roman" w:hAnsi="Times New Roman"/>
          <w:sz w:val="28"/>
          <w:szCs w:val="28"/>
        </w:rPr>
        <w:t>що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їх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імітують</w:t>
      </w:r>
      <w:proofErr w:type="spellEnd"/>
      <w:r w:rsidRPr="00F54CA3">
        <w:rPr>
          <w:rFonts w:ascii="Times New Roman" w:hAnsi="Times New Roman"/>
          <w:sz w:val="28"/>
          <w:szCs w:val="28"/>
        </w:rPr>
        <w:t>, ниток;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F54CA3">
        <w:rPr>
          <w:rFonts w:ascii="Times New Roman" w:hAnsi="Times New Roman"/>
          <w:sz w:val="28"/>
          <w:szCs w:val="28"/>
        </w:rPr>
        <w:t>росолена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54CA3">
        <w:rPr>
          <w:rFonts w:ascii="Times New Roman" w:hAnsi="Times New Roman"/>
          <w:sz w:val="28"/>
          <w:szCs w:val="28"/>
        </w:rPr>
        <w:t>пров’ялена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4CA3">
        <w:rPr>
          <w:rFonts w:ascii="Times New Roman" w:hAnsi="Times New Roman"/>
          <w:sz w:val="28"/>
          <w:szCs w:val="28"/>
        </w:rPr>
        <w:t>інколи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ще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й прокопчена) спинка </w:t>
      </w:r>
      <w:proofErr w:type="spellStart"/>
      <w:r w:rsidRPr="00F54CA3">
        <w:rPr>
          <w:rFonts w:ascii="Times New Roman" w:hAnsi="Times New Roman"/>
          <w:sz w:val="28"/>
          <w:szCs w:val="28"/>
        </w:rPr>
        <w:t>великої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червоної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риби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; </w:t>
      </w:r>
    </w:p>
    <w:p w:rsidR="004413B7" w:rsidRPr="00F54CA3" w:rsidRDefault="004413B7" w:rsidP="00F54CA3">
      <w:pPr>
        <w:widowControl w:val="0"/>
        <w:numPr>
          <w:ilvl w:val="1"/>
          <w:numId w:val="3"/>
        </w:numPr>
        <w:tabs>
          <w:tab w:val="clear" w:pos="1440"/>
          <w:tab w:val="num" w:pos="5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F54CA3">
        <w:rPr>
          <w:rFonts w:ascii="Times New Roman" w:hAnsi="Times New Roman"/>
          <w:sz w:val="28"/>
          <w:szCs w:val="28"/>
        </w:rPr>
        <w:t>овгополий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просторий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верхній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одяг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(перев. </w:t>
      </w:r>
      <w:proofErr w:type="gramStart"/>
      <w:r w:rsidRPr="00F54CA3">
        <w:rPr>
          <w:rFonts w:ascii="Times New Roman" w:hAnsi="Times New Roman"/>
          <w:sz w:val="28"/>
          <w:szCs w:val="28"/>
        </w:rPr>
        <w:t>без</w:t>
      </w:r>
      <w:proofErr w:type="gram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застібок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F54CA3">
        <w:rPr>
          <w:rFonts w:ascii="Times New Roman" w:hAnsi="Times New Roman"/>
          <w:sz w:val="28"/>
          <w:szCs w:val="28"/>
        </w:rPr>
        <w:t>деяких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азіатських</w:t>
      </w:r>
      <w:proofErr w:type="spellEnd"/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народів</w:t>
      </w:r>
      <w:proofErr w:type="spellEnd"/>
      <w:r w:rsidRPr="00F54CA3">
        <w:rPr>
          <w:rFonts w:ascii="Times New Roman" w:hAnsi="Times New Roman"/>
          <w:sz w:val="28"/>
          <w:szCs w:val="28"/>
        </w:rPr>
        <w:t>.</w:t>
      </w:r>
    </w:p>
    <w:p w:rsidR="004413B7" w:rsidRPr="00F54CA3" w:rsidRDefault="004413B7" w:rsidP="00F54CA3">
      <w:pPr>
        <w:tabs>
          <w:tab w:val="num" w:pos="5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4CA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Довідка</w:t>
      </w:r>
      <w:proofErr w:type="spellEnd"/>
      <w:r w:rsidRPr="00F54CA3">
        <w:rPr>
          <w:rFonts w:ascii="Times New Roman" w:hAnsi="Times New Roman"/>
          <w:b/>
          <w:sz w:val="28"/>
          <w:szCs w:val="28"/>
        </w:rPr>
        <w:t>:</w:t>
      </w:r>
      <w:r w:rsidRPr="00F5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A3">
        <w:rPr>
          <w:rFonts w:ascii="Times New Roman" w:hAnsi="Times New Roman"/>
          <w:sz w:val="28"/>
          <w:szCs w:val="28"/>
        </w:rPr>
        <w:t>ул</w:t>
      </w:r>
      <w:r w:rsidRPr="00F54CA3">
        <w:rPr>
          <w:rFonts w:ascii="Times New Roman" w:hAnsi="Times New Roman"/>
          <w:b/>
          <w:sz w:val="28"/>
          <w:szCs w:val="28"/>
        </w:rPr>
        <w:t>а</w:t>
      </w:r>
      <w:r w:rsidRPr="00F54CA3">
        <w:rPr>
          <w:rFonts w:ascii="Times New Roman" w:hAnsi="Times New Roman"/>
          <w:sz w:val="28"/>
          <w:szCs w:val="28"/>
        </w:rPr>
        <w:t>ни</w:t>
      </w:r>
      <w:proofErr w:type="spellEnd"/>
      <w:r w:rsidRPr="00F54CA3">
        <w:rPr>
          <w:rFonts w:ascii="Times New Roman" w:hAnsi="Times New Roman"/>
          <w:sz w:val="28"/>
          <w:szCs w:val="28"/>
        </w:rPr>
        <w:t>; урем</w:t>
      </w:r>
      <w:r w:rsidRPr="00F54CA3">
        <w:rPr>
          <w:rFonts w:ascii="Times New Roman" w:hAnsi="Times New Roman"/>
          <w:b/>
          <w:sz w:val="28"/>
          <w:szCs w:val="28"/>
        </w:rPr>
        <w:t>а</w:t>
      </w:r>
      <w:r w:rsidRPr="00F54CA3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54CA3">
        <w:rPr>
          <w:rFonts w:ascii="Times New Roman" w:hAnsi="Times New Roman"/>
          <w:b/>
          <w:sz w:val="28"/>
          <w:szCs w:val="28"/>
        </w:rPr>
        <w:t>і</w:t>
      </w:r>
      <w:r w:rsidRPr="00F54CA3">
        <w:rPr>
          <w:rFonts w:ascii="Times New Roman" w:hAnsi="Times New Roman"/>
          <w:sz w:val="28"/>
          <w:szCs w:val="28"/>
        </w:rPr>
        <w:t>чиги</w:t>
      </w:r>
      <w:proofErr w:type="spellEnd"/>
      <w:r w:rsidRPr="00F54CA3">
        <w:rPr>
          <w:rFonts w:ascii="Times New Roman" w:hAnsi="Times New Roman"/>
          <w:sz w:val="28"/>
          <w:szCs w:val="28"/>
        </w:rPr>
        <w:t>; баб</w:t>
      </w:r>
      <w:r w:rsidRPr="00F54CA3">
        <w:rPr>
          <w:rFonts w:ascii="Times New Roman" w:hAnsi="Times New Roman"/>
          <w:b/>
          <w:sz w:val="28"/>
          <w:szCs w:val="28"/>
        </w:rPr>
        <w:t>а</w:t>
      </w:r>
      <w:r w:rsidRPr="00F54CA3">
        <w:rPr>
          <w:rFonts w:ascii="Times New Roman" w:hAnsi="Times New Roman"/>
          <w:sz w:val="28"/>
          <w:szCs w:val="28"/>
        </w:rPr>
        <w:t>; байр</w:t>
      </w:r>
      <w:r w:rsidRPr="00F54CA3">
        <w:rPr>
          <w:rFonts w:ascii="Times New Roman" w:hAnsi="Times New Roman"/>
          <w:b/>
          <w:sz w:val="28"/>
          <w:szCs w:val="28"/>
        </w:rPr>
        <w:t>а</w:t>
      </w:r>
      <w:r w:rsidRPr="00F54CA3">
        <w:rPr>
          <w:rFonts w:ascii="Times New Roman" w:hAnsi="Times New Roman"/>
          <w:sz w:val="28"/>
          <w:szCs w:val="28"/>
        </w:rPr>
        <w:t xml:space="preserve">м; </w:t>
      </w:r>
      <w:proofErr w:type="spellStart"/>
      <w:r w:rsidRPr="00F54CA3">
        <w:rPr>
          <w:rFonts w:ascii="Times New Roman" w:hAnsi="Times New Roman"/>
          <w:sz w:val="28"/>
          <w:szCs w:val="28"/>
        </w:rPr>
        <w:t>бат</w:t>
      </w:r>
      <w:r w:rsidRPr="00F54CA3">
        <w:rPr>
          <w:rFonts w:ascii="Times New Roman" w:hAnsi="Times New Roman"/>
          <w:b/>
          <w:sz w:val="28"/>
          <w:szCs w:val="28"/>
        </w:rPr>
        <w:t>и</w:t>
      </w:r>
      <w:r w:rsidRPr="00F54CA3">
        <w:rPr>
          <w:rFonts w:ascii="Times New Roman" w:hAnsi="Times New Roman"/>
          <w:sz w:val="28"/>
          <w:szCs w:val="28"/>
        </w:rPr>
        <w:t>р</w:t>
      </w:r>
      <w:proofErr w:type="spellEnd"/>
      <w:r w:rsidRPr="00F54CA3">
        <w:rPr>
          <w:rFonts w:ascii="Times New Roman" w:hAnsi="Times New Roman"/>
          <w:sz w:val="28"/>
          <w:szCs w:val="28"/>
        </w:rPr>
        <w:t>; башт</w:t>
      </w:r>
      <w:r w:rsidRPr="00F54CA3">
        <w:rPr>
          <w:rFonts w:ascii="Times New Roman" w:hAnsi="Times New Roman"/>
          <w:b/>
          <w:sz w:val="28"/>
          <w:szCs w:val="28"/>
        </w:rPr>
        <w:t>а</w:t>
      </w:r>
      <w:r w:rsidRPr="00F54CA3">
        <w:rPr>
          <w:rFonts w:ascii="Times New Roman" w:hAnsi="Times New Roman"/>
          <w:sz w:val="28"/>
          <w:szCs w:val="28"/>
        </w:rPr>
        <w:t>н; парч</w:t>
      </w:r>
      <w:r w:rsidRPr="00F54CA3">
        <w:rPr>
          <w:rFonts w:ascii="Times New Roman" w:hAnsi="Times New Roman"/>
          <w:b/>
          <w:sz w:val="28"/>
          <w:szCs w:val="28"/>
        </w:rPr>
        <w:t>а</w:t>
      </w:r>
      <w:r w:rsidRPr="00F54CA3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54CA3">
        <w:rPr>
          <w:rFonts w:ascii="Times New Roman" w:hAnsi="Times New Roman"/>
          <w:sz w:val="28"/>
          <w:szCs w:val="28"/>
        </w:rPr>
        <w:t>бал</w:t>
      </w:r>
      <w:r w:rsidRPr="00F54CA3">
        <w:rPr>
          <w:rFonts w:ascii="Times New Roman" w:hAnsi="Times New Roman"/>
          <w:b/>
          <w:sz w:val="28"/>
          <w:szCs w:val="28"/>
        </w:rPr>
        <w:t>и</w:t>
      </w:r>
      <w:r w:rsidRPr="00F54CA3">
        <w:rPr>
          <w:rFonts w:ascii="Times New Roman" w:hAnsi="Times New Roman"/>
          <w:sz w:val="28"/>
          <w:szCs w:val="28"/>
        </w:rPr>
        <w:t>к</w:t>
      </w:r>
      <w:proofErr w:type="spellEnd"/>
      <w:r w:rsidRPr="00F54CA3">
        <w:rPr>
          <w:rFonts w:ascii="Times New Roman" w:hAnsi="Times New Roman"/>
          <w:sz w:val="28"/>
          <w:szCs w:val="28"/>
        </w:rPr>
        <w:t>; хал</w:t>
      </w:r>
      <w:r w:rsidRPr="00F54CA3">
        <w:rPr>
          <w:rFonts w:ascii="Times New Roman" w:hAnsi="Times New Roman"/>
          <w:b/>
          <w:sz w:val="28"/>
          <w:szCs w:val="28"/>
        </w:rPr>
        <w:t>а</w:t>
      </w:r>
      <w:r w:rsidRPr="00F54CA3">
        <w:rPr>
          <w:rFonts w:ascii="Times New Roman" w:hAnsi="Times New Roman"/>
          <w:sz w:val="28"/>
          <w:szCs w:val="28"/>
        </w:rPr>
        <w:t>т.</w:t>
      </w:r>
    </w:p>
    <w:p w:rsidR="004413B7" w:rsidRPr="00F54CA3" w:rsidRDefault="004413B7" w:rsidP="00756A23">
      <w:pPr>
        <w:tabs>
          <w:tab w:val="num" w:pos="54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54CA3">
        <w:rPr>
          <w:rFonts w:ascii="Times New Roman" w:hAnsi="Times New Roman"/>
          <w:sz w:val="28"/>
          <w:szCs w:val="28"/>
          <w:lang w:val="uk-UA"/>
        </w:rPr>
        <w:t>ЛІТЕРАТУРА</w:t>
      </w:r>
    </w:p>
    <w:p w:rsidR="00A346D6" w:rsidRPr="00F54CA3" w:rsidRDefault="00A346D6" w:rsidP="00F54CA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Бондаренко Н. Проблеми словникової роботи на уроках української мови та шляхи їх розв'язання [Текст] / Н. Бондаренко // Українська мова і література в школі. 2005. </w:t>
      </w:r>
      <w:r w:rsidRPr="00F54CA3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№ 7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 С. 5-11. </w:t>
      </w:r>
    </w:p>
    <w:p w:rsidR="00A346D6" w:rsidRPr="00F54CA3" w:rsidRDefault="00A346D6" w:rsidP="00F54CA3">
      <w:pPr>
        <w:pStyle w:val="a3"/>
        <w:numPr>
          <w:ilvl w:val="0"/>
          <w:numId w:val="1"/>
        </w:numPr>
        <w:spacing w:before="100" w:beforeAutospacing="1" w:after="48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sz w:val="28"/>
          <w:szCs w:val="28"/>
          <w:lang w:val="uk-UA" w:eastAsia="uk-UA"/>
        </w:rPr>
        <w:t>Литвиненко І. С. Розвиток словникового запасу дітей у 5-8 класах. Практична психологія та соціальна робота. 2002. № 1. C. 28-33.</w:t>
      </w:r>
    </w:p>
    <w:p w:rsidR="00A346D6" w:rsidRPr="00F54CA3" w:rsidRDefault="00A346D6" w:rsidP="00F54CA3">
      <w:pPr>
        <w:pStyle w:val="a3"/>
        <w:numPr>
          <w:ilvl w:val="0"/>
          <w:numId w:val="1"/>
        </w:numPr>
        <w:spacing w:before="100" w:beforeAutospacing="1" w:after="48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Методика навчання рідної мови в середніх навчальних закладах / За ред.</w:t>
      </w:r>
      <w:r w:rsidR="004413B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М.</w:t>
      </w:r>
      <w:r w:rsidR="004413B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І.</w:t>
      </w:r>
      <w:r w:rsidR="004413B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Пентилюк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 Підру</w:t>
      </w:r>
      <w:r w:rsidR="004413B7"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чник для студентів-філологів. Київ</w:t>
      </w:r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Ленвіт</w:t>
      </w:r>
      <w:proofErr w:type="spellEnd"/>
      <w:r w:rsidRPr="00F54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2000. 264с.</w:t>
      </w:r>
    </w:p>
    <w:p w:rsidR="006A03C3" w:rsidRPr="00F54CA3" w:rsidRDefault="006A03C3" w:rsidP="00F54CA3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6A03C3" w:rsidRPr="00F54C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2BB4"/>
    <w:multiLevelType w:val="hybridMultilevel"/>
    <w:tmpl w:val="C9149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04CE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3A2"/>
    <w:multiLevelType w:val="hybridMultilevel"/>
    <w:tmpl w:val="F83840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402D5"/>
    <w:multiLevelType w:val="hybridMultilevel"/>
    <w:tmpl w:val="A88EF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5A"/>
    <w:rsid w:val="00101FEC"/>
    <w:rsid w:val="001F3FD7"/>
    <w:rsid w:val="002E227B"/>
    <w:rsid w:val="004111E6"/>
    <w:rsid w:val="004413B7"/>
    <w:rsid w:val="004D4973"/>
    <w:rsid w:val="006A03C3"/>
    <w:rsid w:val="00735718"/>
    <w:rsid w:val="00756A23"/>
    <w:rsid w:val="0097365A"/>
    <w:rsid w:val="00A346D6"/>
    <w:rsid w:val="00ED1282"/>
    <w:rsid w:val="00F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D512-F8FD-4A1C-8B7B-B46D7231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1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4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2020-10-18T10:11:00Z</dcterms:created>
  <dcterms:modified xsi:type="dcterms:W3CDTF">2020-10-19T13:35:00Z</dcterms:modified>
</cp:coreProperties>
</file>