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0E69" w:rsidRPr="00680E69" w:rsidRDefault="00680E69" w:rsidP="00680E69">
      <w:pPr>
        <w:jc w:val="center"/>
        <w:rPr>
          <w:rFonts w:ascii="Times New Roman" w:hAnsi="Times New Roman" w:cs="Times New Roman"/>
          <w:sz w:val="28"/>
          <w:szCs w:val="28"/>
        </w:rPr>
      </w:pPr>
      <w:r w:rsidRPr="00680E69">
        <w:rPr>
          <w:rFonts w:ascii="Times New Roman" w:hAnsi="Times New Roman" w:cs="Times New Roman"/>
          <w:sz w:val="28"/>
          <w:szCs w:val="28"/>
        </w:rPr>
        <w:t>Міністерство освіти і науки України Прикарпатський національний університет імені Василя Стефаника</w:t>
      </w:r>
    </w:p>
    <w:p w:rsidR="00680E69" w:rsidRPr="00680E69" w:rsidRDefault="00680E69" w:rsidP="00680E69">
      <w:pPr>
        <w:jc w:val="center"/>
        <w:rPr>
          <w:rFonts w:ascii="Times New Roman" w:hAnsi="Times New Roman" w:cs="Times New Roman"/>
          <w:sz w:val="28"/>
          <w:szCs w:val="28"/>
        </w:rPr>
      </w:pPr>
      <w:r w:rsidRPr="00680E69">
        <w:rPr>
          <w:rFonts w:ascii="Times New Roman" w:hAnsi="Times New Roman" w:cs="Times New Roman"/>
          <w:sz w:val="28"/>
          <w:szCs w:val="28"/>
        </w:rPr>
        <w:t>Економічний факультет</w:t>
      </w:r>
    </w:p>
    <w:p w:rsidR="00680E69" w:rsidRPr="00680E69" w:rsidRDefault="00680E69" w:rsidP="00680E69">
      <w:pPr>
        <w:jc w:val="center"/>
        <w:rPr>
          <w:rFonts w:ascii="Times New Roman" w:hAnsi="Times New Roman" w:cs="Times New Roman"/>
          <w:sz w:val="28"/>
          <w:szCs w:val="28"/>
        </w:rPr>
      </w:pPr>
    </w:p>
    <w:p w:rsidR="00680E69" w:rsidRPr="00680E69" w:rsidRDefault="00680E69" w:rsidP="00680E69">
      <w:pPr>
        <w:jc w:val="center"/>
        <w:rPr>
          <w:rFonts w:ascii="Times New Roman" w:hAnsi="Times New Roman" w:cs="Times New Roman"/>
          <w:sz w:val="28"/>
          <w:szCs w:val="28"/>
        </w:rPr>
      </w:pPr>
    </w:p>
    <w:p w:rsidR="00680E69" w:rsidRPr="00680E69" w:rsidRDefault="00680E69" w:rsidP="00680E69">
      <w:pPr>
        <w:jc w:val="center"/>
        <w:rPr>
          <w:rFonts w:ascii="Times New Roman" w:hAnsi="Times New Roman" w:cs="Times New Roman"/>
          <w:sz w:val="28"/>
          <w:szCs w:val="28"/>
        </w:rPr>
      </w:pPr>
    </w:p>
    <w:p w:rsidR="00680E69" w:rsidRPr="00680E69" w:rsidRDefault="00680E69" w:rsidP="00680E69">
      <w:pPr>
        <w:jc w:val="center"/>
        <w:rPr>
          <w:rFonts w:ascii="Times New Roman" w:hAnsi="Times New Roman" w:cs="Times New Roman"/>
          <w:sz w:val="28"/>
          <w:szCs w:val="28"/>
        </w:rPr>
      </w:pPr>
      <w:proofErr w:type="spellStart"/>
      <w:r w:rsidRPr="00680E69">
        <w:rPr>
          <w:rFonts w:ascii="Times New Roman" w:hAnsi="Times New Roman" w:cs="Times New Roman"/>
          <w:sz w:val="28"/>
          <w:szCs w:val="28"/>
        </w:rPr>
        <w:t>Ватрич</w:t>
      </w:r>
      <w:proofErr w:type="spellEnd"/>
      <w:r w:rsidRPr="00680E69">
        <w:rPr>
          <w:rFonts w:ascii="Times New Roman" w:hAnsi="Times New Roman" w:cs="Times New Roman"/>
          <w:sz w:val="28"/>
          <w:szCs w:val="28"/>
        </w:rPr>
        <w:t xml:space="preserve"> Олеся Василівна</w:t>
      </w:r>
    </w:p>
    <w:p w:rsidR="00680E69" w:rsidRPr="00680E69" w:rsidRDefault="00680E69" w:rsidP="00680E69">
      <w:pPr>
        <w:jc w:val="center"/>
        <w:rPr>
          <w:rFonts w:ascii="Times New Roman" w:hAnsi="Times New Roman" w:cs="Times New Roman"/>
          <w:sz w:val="28"/>
          <w:szCs w:val="28"/>
        </w:rPr>
      </w:pPr>
    </w:p>
    <w:p w:rsidR="00680E69" w:rsidRPr="00680E69" w:rsidRDefault="00680E69" w:rsidP="00680E69">
      <w:pPr>
        <w:jc w:val="center"/>
        <w:rPr>
          <w:rFonts w:ascii="Times New Roman" w:hAnsi="Times New Roman" w:cs="Times New Roman"/>
          <w:sz w:val="28"/>
          <w:szCs w:val="28"/>
        </w:rPr>
      </w:pPr>
    </w:p>
    <w:p w:rsidR="00680E69" w:rsidRPr="00680E69" w:rsidRDefault="00680E69" w:rsidP="00680E69">
      <w:pPr>
        <w:jc w:val="center"/>
        <w:rPr>
          <w:rFonts w:ascii="Times New Roman" w:hAnsi="Times New Roman" w:cs="Times New Roman"/>
          <w:sz w:val="28"/>
          <w:szCs w:val="28"/>
        </w:rPr>
      </w:pPr>
      <w:r w:rsidRPr="00680E69">
        <w:rPr>
          <w:rFonts w:ascii="Times New Roman" w:hAnsi="Times New Roman" w:cs="Times New Roman"/>
          <w:sz w:val="28"/>
          <w:szCs w:val="28"/>
        </w:rPr>
        <w:t>Митно-тарифне регулювання зовнішньоекономічної діяльності деревообробної галузі в Україні</w:t>
      </w:r>
    </w:p>
    <w:p w:rsidR="00680E69" w:rsidRPr="00680E69" w:rsidRDefault="00680E69" w:rsidP="00680E69">
      <w:pPr>
        <w:jc w:val="center"/>
        <w:rPr>
          <w:rFonts w:ascii="Times New Roman" w:hAnsi="Times New Roman" w:cs="Times New Roman"/>
          <w:sz w:val="28"/>
          <w:szCs w:val="28"/>
        </w:rPr>
      </w:pPr>
      <w:r w:rsidRPr="00680E69">
        <w:rPr>
          <w:rFonts w:ascii="Times New Roman" w:hAnsi="Times New Roman" w:cs="Times New Roman"/>
          <w:sz w:val="28"/>
          <w:szCs w:val="28"/>
        </w:rPr>
        <w:t>МЗЕД-М2(з)</w:t>
      </w:r>
    </w:p>
    <w:p w:rsidR="00680E69" w:rsidRPr="00680E69" w:rsidRDefault="00680E69" w:rsidP="00680E69">
      <w:pPr>
        <w:jc w:val="center"/>
        <w:rPr>
          <w:rFonts w:ascii="Times New Roman" w:hAnsi="Times New Roman" w:cs="Times New Roman"/>
          <w:sz w:val="28"/>
          <w:szCs w:val="28"/>
        </w:rPr>
      </w:pPr>
      <w:r w:rsidRPr="00680E69">
        <w:rPr>
          <w:rFonts w:ascii="Times New Roman" w:hAnsi="Times New Roman" w:cs="Times New Roman"/>
          <w:sz w:val="28"/>
          <w:szCs w:val="28"/>
        </w:rPr>
        <w:t>073 Менеджмент</w:t>
      </w:r>
    </w:p>
    <w:p w:rsidR="00680E69" w:rsidRPr="00680E69" w:rsidRDefault="00680E69" w:rsidP="00680E69">
      <w:pPr>
        <w:jc w:val="center"/>
        <w:rPr>
          <w:rFonts w:ascii="Times New Roman" w:hAnsi="Times New Roman" w:cs="Times New Roman"/>
          <w:sz w:val="28"/>
          <w:szCs w:val="28"/>
        </w:rPr>
      </w:pPr>
      <w:r w:rsidRPr="00680E69">
        <w:rPr>
          <w:rFonts w:ascii="Times New Roman" w:hAnsi="Times New Roman" w:cs="Times New Roman"/>
          <w:sz w:val="28"/>
          <w:szCs w:val="28"/>
        </w:rPr>
        <w:t>Автореферат на здобуття другого (магістерського) рівня вищої освіти</w:t>
      </w:r>
    </w:p>
    <w:p w:rsidR="00680E69" w:rsidRPr="00680E69" w:rsidRDefault="00680E69" w:rsidP="00680E69">
      <w:pPr>
        <w:jc w:val="center"/>
        <w:rPr>
          <w:rFonts w:ascii="Times New Roman" w:hAnsi="Times New Roman" w:cs="Times New Roman"/>
          <w:sz w:val="28"/>
          <w:szCs w:val="28"/>
        </w:rPr>
      </w:pPr>
    </w:p>
    <w:p w:rsidR="00680E69" w:rsidRPr="00680E69" w:rsidRDefault="00680E69" w:rsidP="00680E69">
      <w:pPr>
        <w:jc w:val="center"/>
        <w:rPr>
          <w:rFonts w:ascii="Times New Roman" w:hAnsi="Times New Roman" w:cs="Times New Roman"/>
          <w:sz w:val="28"/>
          <w:szCs w:val="28"/>
        </w:rPr>
      </w:pPr>
    </w:p>
    <w:p w:rsidR="00680E69" w:rsidRPr="00680E69" w:rsidRDefault="00680E69" w:rsidP="00680E69">
      <w:pPr>
        <w:jc w:val="center"/>
        <w:rPr>
          <w:rFonts w:ascii="Times New Roman" w:hAnsi="Times New Roman" w:cs="Times New Roman"/>
          <w:sz w:val="28"/>
          <w:szCs w:val="28"/>
        </w:rPr>
      </w:pPr>
    </w:p>
    <w:p w:rsidR="00680E69" w:rsidRPr="00680E69" w:rsidRDefault="00680E69" w:rsidP="00680E69">
      <w:pPr>
        <w:jc w:val="center"/>
        <w:rPr>
          <w:rFonts w:ascii="Times New Roman" w:hAnsi="Times New Roman" w:cs="Times New Roman"/>
          <w:sz w:val="28"/>
          <w:szCs w:val="28"/>
        </w:rPr>
      </w:pPr>
    </w:p>
    <w:p w:rsidR="00680E69" w:rsidRPr="00680E69" w:rsidRDefault="00680E69" w:rsidP="00680E69">
      <w:pPr>
        <w:jc w:val="center"/>
        <w:rPr>
          <w:rFonts w:ascii="Times New Roman" w:hAnsi="Times New Roman" w:cs="Times New Roman"/>
          <w:sz w:val="28"/>
          <w:szCs w:val="28"/>
        </w:rPr>
      </w:pPr>
    </w:p>
    <w:p w:rsidR="00680E69" w:rsidRPr="00680E69" w:rsidRDefault="00680E69" w:rsidP="00680E69">
      <w:pPr>
        <w:jc w:val="center"/>
        <w:rPr>
          <w:rFonts w:ascii="Times New Roman" w:hAnsi="Times New Roman" w:cs="Times New Roman"/>
          <w:sz w:val="28"/>
          <w:szCs w:val="28"/>
        </w:rPr>
      </w:pPr>
    </w:p>
    <w:p w:rsidR="00680E69" w:rsidRPr="00680E69" w:rsidRDefault="00680E69" w:rsidP="00680E69">
      <w:pPr>
        <w:jc w:val="center"/>
        <w:rPr>
          <w:rFonts w:ascii="Times New Roman" w:hAnsi="Times New Roman" w:cs="Times New Roman"/>
          <w:sz w:val="28"/>
          <w:szCs w:val="28"/>
        </w:rPr>
      </w:pPr>
    </w:p>
    <w:p w:rsidR="00680E69" w:rsidRPr="00680E69" w:rsidRDefault="00680E69" w:rsidP="00680E69">
      <w:pPr>
        <w:jc w:val="center"/>
        <w:rPr>
          <w:rFonts w:ascii="Times New Roman" w:hAnsi="Times New Roman" w:cs="Times New Roman"/>
          <w:sz w:val="28"/>
          <w:szCs w:val="28"/>
        </w:rPr>
      </w:pPr>
    </w:p>
    <w:p w:rsidR="00680E69" w:rsidRDefault="00680E69" w:rsidP="00680E69">
      <w:pPr>
        <w:rPr>
          <w:rFonts w:ascii="Times New Roman" w:hAnsi="Times New Roman" w:cs="Times New Roman"/>
          <w:sz w:val="28"/>
          <w:szCs w:val="28"/>
        </w:rPr>
      </w:pPr>
    </w:p>
    <w:p w:rsidR="00680E69" w:rsidRPr="00680E69" w:rsidRDefault="00680E69" w:rsidP="00680E69">
      <w:pPr>
        <w:rPr>
          <w:rFonts w:ascii="Times New Roman" w:hAnsi="Times New Roman" w:cs="Times New Roman"/>
          <w:sz w:val="28"/>
          <w:szCs w:val="28"/>
        </w:rPr>
      </w:pPr>
    </w:p>
    <w:p w:rsidR="00680E69" w:rsidRPr="00680E69" w:rsidRDefault="00680E69" w:rsidP="00680E69">
      <w:pPr>
        <w:jc w:val="center"/>
        <w:rPr>
          <w:rFonts w:ascii="Times New Roman" w:hAnsi="Times New Roman" w:cs="Times New Roman"/>
          <w:sz w:val="28"/>
          <w:szCs w:val="28"/>
        </w:rPr>
      </w:pPr>
    </w:p>
    <w:p w:rsidR="00680E69" w:rsidRPr="00680E69" w:rsidRDefault="00680E69" w:rsidP="00680E69">
      <w:pPr>
        <w:jc w:val="center"/>
        <w:rPr>
          <w:rFonts w:ascii="Times New Roman" w:hAnsi="Times New Roman" w:cs="Times New Roman"/>
          <w:sz w:val="28"/>
          <w:szCs w:val="28"/>
        </w:rPr>
      </w:pPr>
    </w:p>
    <w:p w:rsidR="00680E69" w:rsidRPr="00680E69" w:rsidRDefault="00680E69" w:rsidP="00680E69">
      <w:pPr>
        <w:jc w:val="center"/>
        <w:rPr>
          <w:rFonts w:ascii="Times New Roman" w:hAnsi="Times New Roman" w:cs="Times New Roman"/>
          <w:sz w:val="28"/>
          <w:szCs w:val="28"/>
        </w:rPr>
      </w:pPr>
    </w:p>
    <w:p w:rsidR="00680E69" w:rsidRPr="00680E69" w:rsidRDefault="00680E69" w:rsidP="00680E69">
      <w:pPr>
        <w:jc w:val="center"/>
        <w:rPr>
          <w:rFonts w:ascii="Times New Roman" w:hAnsi="Times New Roman" w:cs="Times New Roman"/>
          <w:sz w:val="28"/>
          <w:szCs w:val="28"/>
        </w:rPr>
      </w:pPr>
    </w:p>
    <w:p w:rsidR="00680E69" w:rsidRPr="00680E69" w:rsidRDefault="00680E69" w:rsidP="00680E69">
      <w:pPr>
        <w:jc w:val="center"/>
        <w:rPr>
          <w:rFonts w:ascii="Times New Roman" w:hAnsi="Times New Roman" w:cs="Times New Roman"/>
          <w:sz w:val="28"/>
          <w:szCs w:val="28"/>
        </w:rPr>
      </w:pPr>
    </w:p>
    <w:p w:rsidR="00713B63" w:rsidRPr="00680E69" w:rsidRDefault="00680E69" w:rsidP="00680E69">
      <w:pPr>
        <w:jc w:val="center"/>
        <w:rPr>
          <w:rFonts w:ascii="Times New Roman" w:hAnsi="Times New Roman" w:cs="Times New Roman"/>
          <w:sz w:val="28"/>
          <w:szCs w:val="28"/>
        </w:rPr>
      </w:pPr>
      <w:r w:rsidRPr="00680E69">
        <w:rPr>
          <w:rFonts w:ascii="Times New Roman" w:hAnsi="Times New Roman" w:cs="Times New Roman"/>
          <w:sz w:val="28"/>
          <w:szCs w:val="28"/>
        </w:rPr>
        <w:t>Івано-Франківськ – 2022</w:t>
      </w:r>
    </w:p>
    <w:p w:rsidR="00680E69" w:rsidRPr="00680E69" w:rsidRDefault="00680E69" w:rsidP="00680E69">
      <w:pPr>
        <w:jc w:val="center"/>
        <w:rPr>
          <w:rFonts w:ascii="Times New Roman" w:hAnsi="Times New Roman" w:cs="Times New Roman"/>
          <w:sz w:val="28"/>
          <w:szCs w:val="28"/>
        </w:rPr>
      </w:pPr>
      <w:r w:rsidRPr="00680E69">
        <w:rPr>
          <w:rFonts w:ascii="Times New Roman" w:hAnsi="Times New Roman" w:cs="Times New Roman"/>
          <w:sz w:val="28"/>
          <w:szCs w:val="28"/>
        </w:rPr>
        <w:lastRenderedPageBreak/>
        <w:t>Дипломна робота виконана в Прикарпатському національному університеті імені Василя Стефаника</w:t>
      </w:r>
    </w:p>
    <w:p w:rsidR="00680E69" w:rsidRPr="00680E69" w:rsidRDefault="00680E69" w:rsidP="00680E69">
      <w:pPr>
        <w:jc w:val="center"/>
        <w:rPr>
          <w:rFonts w:ascii="Times New Roman" w:hAnsi="Times New Roman" w:cs="Times New Roman"/>
          <w:sz w:val="28"/>
          <w:szCs w:val="28"/>
        </w:rPr>
      </w:pPr>
    </w:p>
    <w:p w:rsidR="00680E69" w:rsidRPr="00680E69" w:rsidRDefault="00680E69" w:rsidP="00680E69">
      <w:pPr>
        <w:jc w:val="center"/>
        <w:rPr>
          <w:rFonts w:ascii="Times New Roman" w:hAnsi="Times New Roman" w:cs="Times New Roman"/>
          <w:sz w:val="28"/>
          <w:szCs w:val="28"/>
        </w:rPr>
      </w:pPr>
    </w:p>
    <w:p w:rsidR="00680E69" w:rsidRPr="00680E69" w:rsidRDefault="00680E69" w:rsidP="00680E69">
      <w:pPr>
        <w:rPr>
          <w:rFonts w:ascii="Times New Roman" w:hAnsi="Times New Roman" w:cs="Times New Roman"/>
          <w:sz w:val="28"/>
          <w:szCs w:val="28"/>
        </w:rPr>
      </w:pPr>
      <w:r w:rsidRPr="00680E69">
        <w:rPr>
          <w:rFonts w:ascii="Times New Roman" w:hAnsi="Times New Roman" w:cs="Times New Roman"/>
          <w:sz w:val="28"/>
          <w:szCs w:val="28"/>
        </w:rPr>
        <w:t>Науковий керівник: проф. Ткач О.В.</w:t>
      </w:r>
    </w:p>
    <w:p w:rsidR="00680E69" w:rsidRPr="00680E69" w:rsidRDefault="00680E69" w:rsidP="00680E69">
      <w:pPr>
        <w:rPr>
          <w:rFonts w:ascii="Times New Roman" w:hAnsi="Times New Roman" w:cs="Times New Roman"/>
          <w:sz w:val="28"/>
          <w:szCs w:val="28"/>
        </w:rPr>
      </w:pPr>
      <w:r w:rsidRPr="00680E69">
        <w:rPr>
          <w:rFonts w:ascii="Times New Roman" w:hAnsi="Times New Roman" w:cs="Times New Roman"/>
          <w:sz w:val="28"/>
          <w:szCs w:val="28"/>
        </w:rPr>
        <w:t xml:space="preserve"> Рецензенти: проф. </w:t>
      </w:r>
      <w:proofErr w:type="spellStart"/>
      <w:r w:rsidRPr="00680E69">
        <w:rPr>
          <w:rFonts w:ascii="Times New Roman" w:hAnsi="Times New Roman" w:cs="Times New Roman"/>
          <w:sz w:val="28"/>
          <w:szCs w:val="28"/>
        </w:rPr>
        <w:t>Баланюк</w:t>
      </w:r>
      <w:proofErr w:type="spellEnd"/>
      <w:r w:rsidRPr="00680E69">
        <w:rPr>
          <w:rFonts w:ascii="Times New Roman" w:hAnsi="Times New Roman" w:cs="Times New Roman"/>
          <w:sz w:val="28"/>
          <w:szCs w:val="28"/>
        </w:rPr>
        <w:t xml:space="preserve"> І.Ф.</w:t>
      </w:r>
    </w:p>
    <w:p w:rsidR="00680E69" w:rsidRPr="00680E69" w:rsidRDefault="00680E69" w:rsidP="00680E69">
      <w:pPr>
        <w:rPr>
          <w:rFonts w:ascii="Times New Roman" w:hAnsi="Times New Roman" w:cs="Times New Roman"/>
          <w:sz w:val="28"/>
          <w:szCs w:val="28"/>
        </w:rPr>
      </w:pPr>
    </w:p>
    <w:p w:rsidR="00680E69" w:rsidRPr="00680E69" w:rsidRDefault="00680E69" w:rsidP="00680E69">
      <w:pPr>
        <w:rPr>
          <w:rFonts w:ascii="Times New Roman" w:hAnsi="Times New Roman" w:cs="Times New Roman"/>
          <w:sz w:val="28"/>
          <w:szCs w:val="28"/>
        </w:rPr>
      </w:pPr>
    </w:p>
    <w:p w:rsidR="00680E69" w:rsidRPr="00680E69" w:rsidRDefault="00680E69" w:rsidP="00680E69">
      <w:pPr>
        <w:rPr>
          <w:rFonts w:ascii="Times New Roman" w:hAnsi="Times New Roman" w:cs="Times New Roman"/>
          <w:sz w:val="28"/>
          <w:szCs w:val="28"/>
        </w:rPr>
      </w:pPr>
    </w:p>
    <w:p w:rsidR="00680E69" w:rsidRPr="00680E69" w:rsidRDefault="00680E69" w:rsidP="00680E69">
      <w:pPr>
        <w:rPr>
          <w:rFonts w:ascii="Times New Roman" w:hAnsi="Times New Roman" w:cs="Times New Roman"/>
          <w:sz w:val="28"/>
          <w:szCs w:val="28"/>
        </w:rPr>
      </w:pPr>
    </w:p>
    <w:p w:rsidR="00680E69" w:rsidRPr="00680E69" w:rsidRDefault="00680E69" w:rsidP="00680E69">
      <w:pPr>
        <w:rPr>
          <w:rFonts w:ascii="Times New Roman" w:hAnsi="Times New Roman" w:cs="Times New Roman"/>
          <w:sz w:val="28"/>
          <w:szCs w:val="28"/>
        </w:rPr>
      </w:pPr>
      <w:r w:rsidRPr="00680E69">
        <w:rPr>
          <w:rFonts w:ascii="Times New Roman" w:hAnsi="Times New Roman" w:cs="Times New Roman"/>
          <w:sz w:val="28"/>
          <w:szCs w:val="28"/>
        </w:rPr>
        <w:t>Захист відбудеться: « »__________2022р.</w:t>
      </w:r>
    </w:p>
    <w:p w:rsidR="00680E69" w:rsidRPr="00680E69" w:rsidRDefault="00680E69" w:rsidP="00680E69">
      <w:pPr>
        <w:rPr>
          <w:rFonts w:ascii="Times New Roman" w:hAnsi="Times New Roman" w:cs="Times New Roman"/>
          <w:sz w:val="28"/>
          <w:szCs w:val="28"/>
        </w:rPr>
      </w:pPr>
    </w:p>
    <w:p w:rsidR="00680E69" w:rsidRPr="00680E69" w:rsidRDefault="00680E69" w:rsidP="00680E69">
      <w:pPr>
        <w:rPr>
          <w:rFonts w:ascii="Times New Roman" w:hAnsi="Times New Roman" w:cs="Times New Roman"/>
          <w:sz w:val="28"/>
          <w:szCs w:val="28"/>
        </w:rPr>
      </w:pPr>
    </w:p>
    <w:p w:rsidR="00680E69" w:rsidRPr="00680E69" w:rsidRDefault="00680E69" w:rsidP="00680E69">
      <w:pPr>
        <w:rPr>
          <w:rFonts w:ascii="Times New Roman" w:hAnsi="Times New Roman" w:cs="Times New Roman"/>
          <w:sz w:val="28"/>
          <w:szCs w:val="28"/>
        </w:rPr>
      </w:pPr>
    </w:p>
    <w:p w:rsidR="00680E69" w:rsidRPr="00680E69" w:rsidRDefault="00680E69" w:rsidP="00680E69">
      <w:pPr>
        <w:rPr>
          <w:rFonts w:ascii="Times New Roman" w:hAnsi="Times New Roman" w:cs="Times New Roman"/>
          <w:sz w:val="28"/>
          <w:szCs w:val="28"/>
        </w:rPr>
      </w:pPr>
      <w:r w:rsidRPr="00680E69">
        <w:rPr>
          <w:rFonts w:ascii="Times New Roman" w:hAnsi="Times New Roman" w:cs="Times New Roman"/>
          <w:sz w:val="28"/>
          <w:szCs w:val="28"/>
        </w:rPr>
        <w:t>Дипломну роботу надано до захисту: « »_____________2022р.</w:t>
      </w:r>
    </w:p>
    <w:p w:rsidR="00680E69" w:rsidRPr="00680E69" w:rsidRDefault="00680E69" w:rsidP="00680E69">
      <w:pPr>
        <w:rPr>
          <w:rFonts w:ascii="Times New Roman" w:hAnsi="Times New Roman" w:cs="Times New Roman"/>
          <w:sz w:val="28"/>
          <w:szCs w:val="28"/>
        </w:rPr>
      </w:pPr>
    </w:p>
    <w:p w:rsidR="00680E69" w:rsidRPr="00680E69" w:rsidRDefault="00680E69" w:rsidP="00680E69">
      <w:pPr>
        <w:rPr>
          <w:rFonts w:ascii="Times New Roman" w:hAnsi="Times New Roman" w:cs="Times New Roman"/>
          <w:sz w:val="28"/>
          <w:szCs w:val="28"/>
        </w:rPr>
      </w:pPr>
    </w:p>
    <w:p w:rsidR="00680E69" w:rsidRPr="00680E69" w:rsidRDefault="00680E69" w:rsidP="00680E69">
      <w:pPr>
        <w:rPr>
          <w:rFonts w:ascii="Times New Roman" w:hAnsi="Times New Roman" w:cs="Times New Roman"/>
          <w:sz w:val="28"/>
          <w:szCs w:val="28"/>
        </w:rPr>
      </w:pPr>
    </w:p>
    <w:p w:rsidR="00680E69" w:rsidRPr="00680E69" w:rsidRDefault="00680E69" w:rsidP="00680E69">
      <w:pPr>
        <w:rPr>
          <w:rFonts w:ascii="Times New Roman" w:hAnsi="Times New Roman" w:cs="Times New Roman"/>
          <w:sz w:val="28"/>
          <w:szCs w:val="28"/>
        </w:rPr>
      </w:pPr>
      <w:r w:rsidRPr="00680E69">
        <w:rPr>
          <w:rFonts w:ascii="Times New Roman" w:hAnsi="Times New Roman" w:cs="Times New Roman"/>
          <w:sz w:val="28"/>
          <w:szCs w:val="28"/>
        </w:rPr>
        <w:t xml:space="preserve">Завідувач кафедри проф. Романюк М.Д. ________________ </w:t>
      </w:r>
    </w:p>
    <w:p w:rsidR="00680E69" w:rsidRDefault="00680E69" w:rsidP="00680E69">
      <w:pPr>
        <w:rPr>
          <w:rFonts w:ascii="Times New Roman" w:hAnsi="Times New Roman" w:cs="Times New Roman"/>
          <w:sz w:val="28"/>
          <w:szCs w:val="28"/>
        </w:rPr>
      </w:pPr>
      <w:r w:rsidRPr="00680E69">
        <w:rPr>
          <w:rFonts w:ascii="Times New Roman" w:hAnsi="Times New Roman" w:cs="Times New Roman"/>
          <w:sz w:val="28"/>
          <w:szCs w:val="28"/>
        </w:rPr>
        <w:t xml:space="preserve">                                                                         (підпис) (ім’я та прізвище</w:t>
      </w:r>
      <w:r>
        <w:rPr>
          <w:rFonts w:ascii="Times New Roman" w:hAnsi="Times New Roman" w:cs="Times New Roman"/>
          <w:sz w:val="28"/>
          <w:szCs w:val="28"/>
        </w:rPr>
        <w:t>)</w:t>
      </w:r>
    </w:p>
    <w:p w:rsidR="00680E69" w:rsidRDefault="00680E69" w:rsidP="00680E69">
      <w:pPr>
        <w:rPr>
          <w:rFonts w:ascii="Times New Roman" w:hAnsi="Times New Roman" w:cs="Times New Roman"/>
          <w:sz w:val="28"/>
          <w:szCs w:val="28"/>
        </w:rPr>
      </w:pPr>
    </w:p>
    <w:p w:rsidR="00680E69" w:rsidRDefault="00680E69" w:rsidP="00680E69">
      <w:pPr>
        <w:rPr>
          <w:rFonts w:ascii="Times New Roman" w:hAnsi="Times New Roman" w:cs="Times New Roman"/>
          <w:sz w:val="28"/>
          <w:szCs w:val="28"/>
        </w:rPr>
      </w:pPr>
    </w:p>
    <w:p w:rsidR="00680E69" w:rsidRDefault="00680E69" w:rsidP="00680E69">
      <w:pPr>
        <w:rPr>
          <w:rFonts w:ascii="Times New Roman" w:hAnsi="Times New Roman" w:cs="Times New Roman"/>
          <w:sz w:val="28"/>
          <w:szCs w:val="28"/>
        </w:rPr>
      </w:pPr>
    </w:p>
    <w:p w:rsidR="00680E69" w:rsidRDefault="00680E69" w:rsidP="00680E69">
      <w:pPr>
        <w:rPr>
          <w:rFonts w:ascii="Times New Roman" w:hAnsi="Times New Roman" w:cs="Times New Roman"/>
          <w:sz w:val="28"/>
          <w:szCs w:val="28"/>
        </w:rPr>
      </w:pPr>
    </w:p>
    <w:p w:rsidR="00680E69" w:rsidRDefault="00680E69" w:rsidP="00680E69">
      <w:pPr>
        <w:rPr>
          <w:rFonts w:ascii="Times New Roman" w:hAnsi="Times New Roman" w:cs="Times New Roman"/>
          <w:sz w:val="28"/>
          <w:szCs w:val="28"/>
        </w:rPr>
      </w:pPr>
    </w:p>
    <w:p w:rsidR="00680E69" w:rsidRDefault="00680E69" w:rsidP="00680E69">
      <w:pPr>
        <w:rPr>
          <w:rFonts w:ascii="Times New Roman" w:hAnsi="Times New Roman" w:cs="Times New Roman"/>
          <w:sz w:val="28"/>
          <w:szCs w:val="28"/>
        </w:rPr>
      </w:pPr>
    </w:p>
    <w:p w:rsidR="00680E69" w:rsidRDefault="00680E69" w:rsidP="00680E69">
      <w:pPr>
        <w:rPr>
          <w:rFonts w:ascii="Times New Roman" w:hAnsi="Times New Roman" w:cs="Times New Roman"/>
          <w:sz w:val="28"/>
          <w:szCs w:val="28"/>
        </w:rPr>
      </w:pPr>
    </w:p>
    <w:p w:rsidR="00680E69" w:rsidRDefault="00680E69" w:rsidP="00680E69">
      <w:pPr>
        <w:rPr>
          <w:rFonts w:ascii="Times New Roman" w:hAnsi="Times New Roman" w:cs="Times New Roman"/>
          <w:sz w:val="28"/>
          <w:szCs w:val="28"/>
        </w:rPr>
      </w:pPr>
    </w:p>
    <w:p w:rsidR="00680E69" w:rsidRDefault="00680E69" w:rsidP="00680E69">
      <w:pPr>
        <w:rPr>
          <w:rFonts w:ascii="Times New Roman" w:hAnsi="Times New Roman" w:cs="Times New Roman"/>
          <w:sz w:val="28"/>
          <w:szCs w:val="28"/>
        </w:rPr>
      </w:pPr>
    </w:p>
    <w:p w:rsidR="00680E69" w:rsidRDefault="00680E69" w:rsidP="00680E69">
      <w:pPr>
        <w:rPr>
          <w:rFonts w:ascii="Times New Roman" w:hAnsi="Times New Roman" w:cs="Times New Roman"/>
          <w:sz w:val="28"/>
          <w:szCs w:val="28"/>
        </w:rPr>
      </w:pPr>
    </w:p>
    <w:p w:rsidR="00680E69" w:rsidRPr="00680E69" w:rsidRDefault="00680E69" w:rsidP="00680E69">
      <w:pPr>
        <w:pStyle w:val="a3"/>
        <w:spacing w:line="360" w:lineRule="auto"/>
        <w:jc w:val="both"/>
        <w:rPr>
          <w:rFonts w:ascii="Times New Roman" w:hAnsi="Times New Roman"/>
          <w:b/>
          <w:color w:val="262626"/>
          <w:sz w:val="28"/>
          <w:szCs w:val="28"/>
        </w:rPr>
      </w:pPr>
      <w:r w:rsidRPr="00680E69">
        <w:rPr>
          <w:rFonts w:ascii="Times New Roman" w:hAnsi="Times New Roman"/>
          <w:b/>
          <w:color w:val="262626"/>
          <w:sz w:val="28"/>
          <w:szCs w:val="28"/>
        </w:rPr>
        <w:lastRenderedPageBreak/>
        <w:t>Розділ 1 Теоретико-методологічні засади митного регулювання відносин у зовнішньоекономічній діяльності підприємств.</w:t>
      </w:r>
    </w:p>
    <w:p w:rsidR="00680E69" w:rsidRPr="00680E69" w:rsidRDefault="00680E69" w:rsidP="00680E69">
      <w:pPr>
        <w:pStyle w:val="a3"/>
        <w:numPr>
          <w:ilvl w:val="1"/>
          <w:numId w:val="1"/>
        </w:numPr>
        <w:spacing w:line="360" w:lineRule="auto"/>
        <w:jc w:val="both"/>
        <w:rPr>
          <w:rFonts w:ascii="Times New Roman" w:hAnsi="Times New Roman"/>
          <w:color w:val="262626"/>
          <w:sz w:val="28"/>
          <w:szCs w:val="28"/>
        </w:rPr>
      </w:pPr>
      <w:r w:rsidRPr="00680E69">
        <w:rPr>
          <w:rFonts w:ascii="Times New Roman" w:hAnsi="Times New Roman"/>
          <w:color w:val="262626"/>
          <w:sz w:val="28"/>
          <w:szCs w:val="28"/>
        </w:rPr>
        <w:t xml:space="preserve">  Теоретичні засади функціонування митно-тарифного регулювання в Україні.</w:t>
      </w:r>
    </w:p>
    <w:p w:rsidR="00680E69" w:rsidRPr="00680E69" w:rsidRDefault="00680E69" w:rsidP="00680E69">
      <w:pPr>
        <w:pStyle w:val="a3"/>
        <w:numPr>
          <w:ilvl w:val="1"/>
          <w:numId w:val="1"/>
        </w:numPr>
        <w:spacing w:line="360" w:lineRule="auto"/>
        <w:jc w:val="both"/>
        <w:rPr>
          <w:rFonts w:ascii="Times New Roman" w:hAnsi="Times New Roman"/>
          <w:color w:val="262626"/>
          <w:sz w:val="28"/>
          <w:szCs w:val="28"/>
        </w:rPr>
      </w:pPr>
      <w:r w:rsidRPr="00680E69">
        <w:rPr>
          <w:rFonts w:ascii="Times New Roman" w:hAnsi="Times New Roman"/>
          <w:color w:val="262626"/>
          <w:sz w:val="28"/>
          <w:szCs w:val="28"/>
        </w:rPr>
        <w:t xml:space="preserve"> Правове забезпечення здійснення зовнішньоекономічної діяльності</w:t>
      </w:r>
    </w:p>
    <w:p w:rsidR="00680E69" w:rsidRPr="00680E69" w:rsidRDefault="00680E69" w:rsidP="00680E69">
      <w:pPr>
        <w:pStyle w:val="a3"/>
        <w:numPr>
          <w:ilvl w:val="1"/>
          <w:numId w:val="1"/>
        </w:numPr>
        <w:spacing w:line="360" w:lineRule="auto"/>
        <w:jc w:val="both"/>
        <w:rPr>
          <w:rFonts w:ascii="Times New Roman" w:hAnsi="Times New Roman"/>
          <w:color w:val="262626"/>
          <w:sz w:val="28"/>
          <w:szCs w:val="28"/>
        </w:rPr>
      </w:pPr>
      <w:r w:rsidRPr="00680E69">
        <w:rPr>
          <w:rFonts w:ascii="Times New Roman" w:hAnsi="Times New Roman"/>
          <w:color w:val="262626"/>
          <w:sz w:val="28"/>
          <w:szCs w:val="28"/>
        </w:rPr>
        <w:t xml:space="preserve">  Митно-тарифна політика України на сучасному етапі.</w:t>
      </w:r>
    </w:p>
    <w:p w:rsidR="00680E69" w:rsidRPr="00680E69" w:rsidRDefault="00680E69" w:rsidP="00680E69">
      <w:pPr>
        <w:pStyle w:val="a3"/>
        <w:spacing w:line="360" w:lineRule="auto"/>
        <w:jc w:val="both"/>
        <w:rPr>
          <w:rFonts w:ascii="Times New Roman" w:hAnsi="Times New Roman"/>
          <w:color w:val="262626"/>
          <w:sz w:val="28"/>
          <w:szCs w:val="28"/>
        </w:rPr>
      </w:pPr>
    </w:p>
    <w:p w:rsidR="00680E69" w:rsidRPr="00680E69" w:rsidRDefault="00680E69" w:rsidP="00680E69">
      <w:pPr>
        <w:pStyle w:val="a3"/>
        <w:spacing w:line="360" w:lineRule="auto"/>
        <w:jc w:val="both"/>
        <w:rPr>
          <w:rFonts w:ascii="Times New Roman" w:hAnsi="Times New Roman"/>
          <w:b/>
          <w:color w:val="262626"/>
          <w:sz w:val="28"/>
          <w:szCs w:val="28"/>
        </w:rPr>
      </w:pPr>
      <w:r w:rsidRPr="00680E69">
        <w:rPr>
          <w:rFonts w:ascii="Times New Roman" w:hAnsi="Times New Roman"/>
          <w:b/>
          <w:color w:val="262626"/>
          <w:sz w:val="28"/>
          <w:szCs w:val="28"/>
        </w:rPr>
        <w:t>Розділ 2 Загальна характеристика лісів та лісового господарства України.</w:t>
      </w:r>
    </w:p>
    <w:p w:rsidR="00680E69" w:rsidRPr="00680E69" w:rsidRDefault="00680E69" w:rsidP="00680E69">
      <w:pPr>
        <w:pStyle w:val="a3"/>
        <w:spacing w:line="360" w:lineRule="auto"/>
        <w:jc w:val="both"/>
        <w:rPr>
          <w:rFonts w:ascii="Times New Roman" w:hAnsi="Times New Roman"/>
          <w:color w:val="262626"/>
          <w:sz w:val="28"/>
          <w:szCs w:val="28"/>
        </w:rPr>
      </w:pPr>
      <w:r w:rsidRPr="00680E69">
        <w:rPr>
          <w:rFonts w:ascii="Times New Roman" w:hAnsi="Times New Roman"/>
          <w:color w:val="262626"/>
          <w:sz w:val="28"/>
          <w:szCs w:val="28"/>
        </w:rPr>
        <w:t>2.1 Склад лісового фонду України</w:t>
      </w:r>
    </w:p>
    <w:p w:rsidR="00680E69" w:rsidRPr="00680E69" w:rsidRDefault="00680E69" w:rsidP="00680E69">
      <w:pPr>
        <w:pStyle w:val="a3"/>
        <w:spacing w:line="360" w:lineRule="auto"/>
        <w:jc w:val="both"/>
        <w:rPr>
          <w:rFonts w:ascii="Times New Roman" w:hAnsi="Times New Roman"/>
          <w:color w:val="262626"/>
          <w:sz w:val="28"/>
          <w:szCs w:val="28"/>
        </w:rPr>
      </w:pPr>
      <w:r w:rsidRPr="00680E69">
        <w:rPr>
          <w:rFonts w:ascii="Times New Roman" w:hAnsi="Times New Roman"/>
          <w:color w:val="262626"/>
          <w:sz w:val="28"/>
          <w:szCs w:val="28"/>
        </w:rPr>
        <w:t>2.2. Екологічна цінність та специфіка використання лісових ресурсів.</w:t>
      </w:r>
    </w:p>
    <w:p w:rsidR="00680E69" w:rsidRPr="00680E69" w:rsidRDefault="00680E69" w:rsidP="00680E69">
      <w:pPr>
        <w:pStyle w:val="a3"/>
        <w:spacing w:line="360" w:lineRule="auto"/>
        <w:jc w:val="both"/>
        <w:rPr>
          <w:rFonts w:ascii="Times New Roman" w:hAnsi="Times New Roman"/>
          <w:color w:val="262626"/>
          <w:sz w:val="28"/>
          <w:szCs w:val="28"/>
        </w:rPr>
      </w:pPr>
      <w:r w:rsidRPr="00680E69">
        <w:rPr>
          <w:rFonts w:ascii="Times New Roman" w:hAnsi="Times New Roman"/>
          <w:color w:val="262626"/>
          <w:sz w:val="28"/>
          <w:szCs w:val="28"/>
        </w:rPr>
        <w:t>2.3. Сучасні проблеми лісового сектору України.</w:t>
      </w:r>
    </w:p>
    <w:p w:rsidR="00680E69" w:rsidRPr="00680E69" w:rsidRDefault="00680E69" w:rsidP="00680E69">
      <w:pPr>
        <w:spacing w:line="360" w:lineRule="auto"/>
        <w:ind w:left="360"/>
        <w:jc w:val="both"/>
        <w:rPr>
          <w:rFonts w:ascii="Times New Roman" w:hAnsi="Times New Roman" w:cs="Times New Roman"/>
          <w:b/>
          <w:color w:val="262626"/>
          <w:sz w:val="28"/>
          <w:szCs w:val="28"/>
        </w:rPr>
      </w:pPr>
    </w:p>
    <w:p w:rsidR="00680E69" w:rsidRPr="00680E69" w:rsidRDefault="00680E69" w:rsidP="00680E69">
      <w:pPr>
        <w:spacing w:line="360" w:lineRule="auto"/>
        <w:ind w:left="360"/>
        <w:jc w:val="both"/>
        <w:rPr>
          <w:rFonts w:ascii="Times New Roman" w:hAnsi="Times New Roman" w:cs="Times New Roman"/>
          <w:b/>
          <w:color w:val="333333"/>
          <w:sz w:val="28"/>
          <w:szCs w:val="28"/>
          <w:shd w:val="clear" w:color="auto" w:fill="FFFFFF"/>
        </w:rPr>
      </w:pPr>
      <w:r w:rsidRPr="00680E69">
        <w:rPr>
          <w:rFonts w:ascii="Times New Roman" w:hAnsi="Times New Roman" w:cs="Times New Roman"/>
          <w:b/>
          <w:color w:val="262626"/>
          <w:sz w:val="28"/>
          <w:szCs w:val="28"/>
        </w:rPr>
        <w:t xml:space="preserve">Розділ 3 </w:t>
      </w:r>
      <w:r w:rsidRPr="00680E69">
        <w:rPr>
          <w:rFonts w:ascii="Times New Roman" w:hAnsi="Times New Roman" w:cs="Times New Roman"/>
          <w:b/>
          <w:color w:val="333333"/>
          <w:sz w:val="28"/>
          <w:szCs w:val="28"/>
          <w:shd w:val="clear" w:color="auto" w:fill="FFFFFF"/>
        </w:rPr>
        <w:t>Економічний потенціал та експортна діяльність деревообробних виробництв  в Україні.</w:t>
      </w:r>
    </w:p>
    <w:p w:rsidR="00680E69" w:rsidRPr="00680E69" w:rsidRDefault="00680E69" w:rsidP="00680E69">
      <w:pPr>
        <w:pStyle w:val="a3"/>
        <w:spacing w:line="360" w:lineRule="auto"/>
        <w:ind w:left="0"/>
        <w:jc w:val="both"/>
        <w:rPr>
          <w:rFonts w:ascii="Times New Roman" w:hAnsi="Times New Roman"/>
          <w:color w:val="262626"/>
          <w:sz w:val="28"/>
          <w:szCs w:val="28"/>
        </w:rPr>
      </w:pPr>
      <w:r w:rsidRPr="00680E69">
        <w:rPr>
          <w:rFonts w:ascii="Times New Roman" w:hAnsi="Times New Roman"/>
          <w:color w:val="262626"/>
          <w:sz w:val="28"/>
          <w:szCs w:val="28"/>
        </w:rPr>
        <w:t>3.1. Структура та значення лісової та деревообробної промисловості,    особливості її розміщення.</w:t>
      </w:r>
    </w:p>
    <w:p w:rsidR="00680E69" w:rsidRPr="00680E69" w:rsidRDefault="00680E69" w:rsidP="00680E69">
      <w:pPr>
        <w:pStyle w:val="a3"/>
        <w:numPr>
          <w:ilvl w:val="1"/>
          <w:numId w:val="2"/>
        </w:numPr>
        <w:spacing w:line="360" w:lineRule="auto"/>
        <w:jc w:val="both"/>
        <w:rPr>
          <w:rFonts w:ascii="Times New Roman" w:hAnsi="Times New Roman"/>
          <w:color w:val="262626"/>
          <w:sz w:val="28"/>
          <w:szCs w:val="28"/>
        </w:rPr>
      </w:pPr>
      <w:r w:rsidRPr="00680E69">
        <w:rPr>
          <w:rFonts w:ascii="Times New Roman" w:hAnsi="Times New Roman"/>
          <w:color w:val="262626"/>
          <w:sz w:val="28"/>
          <w:szCs w:val="28"/>
        </w:rPr>
        <w:t>Тенденції зовнішньої торгівлі деревообробної продукції.</w:t>
      </w:r>
    </w:p>
    <w:p w:rsidR="00680E69" w:rsidRPr="00680E69" w:rsidRDefault="00680E69" w:rsidP="00680E69">
      <w:pPr>
        <w:pStyle w:val="a3"/>
        <w:numPr>
          <w:ilvl w:val="1"/>
          <w:numId w:val="2"/>
        </w:numPr>
        <w:spacing w:line="360" w:lineRule="auto"/>
        <w:jc w:val="both"/>
        <w:rPr>
          <w:rFonts w:ascii="Times New Roman" w:hAnsi="Times New Roman"/>
          <w:color w:val="262626"/>
          <w:sz w:val="28"/>
          <w:szCs w:val="28"/>
        </w:rPr>
      </w:pPr>
      <w:r w:rsidRPr="00680E69">
        <w:rPr>
          <w:rFonts w:ascii="Times New Roman" w:hAnsi="Times New Roman"/>
          <w:color w:val="262626"/>
          <w:sz w:val="28"/>
          <w:szCs w:val="28"/>
        </w:rPr>
        <w:t>Експортна діяльність деревообробних підприємств в Україні.</w:t>
      </w:r>
    </w:p>
    <w:p w:rsidR="00680E69" w:rsidRPr="00680E69" w:rsidRDefault="00680E69" w:rsidP="00680E69">
      <w:pPr>
        <w:pStyle w:val="a3"/>
        <w:spacing w:line="360" w:lineRule="auto"/>
        <w:jc w:val="both"/>
        <w:rPr>
          <w:rFonts w:ascii="Times New Roman" w:hAnsi="Times New Roman"/>
          <w:color w:val="262626"/>
          <w:sz w:val="28"/>
          <w:szCs w:val="28"/>
        </w:rPr>
      </w:pPr>
    </w:p>
    <w:p w:rsidR="00680E69" w:rsidRPr="00680E69" w:rsidRDefault="00680E69" w:rsidP="00680E69">
      <w:pPr>
        <w:pStyle w:val="a3"/>
        <w:spacing w:line="360" w:lineRule="auto"/>
        <w:jc w:val="both"/>
        <w:rPr>
          <w:rFonts w:ascii="Times New Roman" w:hAnsi="Times New Roman"/>
          <w:color w:val="262626"/>
          <w:sz w:val="28"/>
          <w:szCs w:val="28"/>
        </w:rPr>
      </w:pPr>
      <w:r w:rsidRPr="00680E69">
        <w:rPr>
          <w:rFonts w:ascii="Times New Roman" w:hAnsi="Times New Roman"/>
          <w:color w:val="262626"/>
          <w:sz w:val="28"/>
          <w:szCs w:val="28"/>
        </w:rPr>
        <w:t xml:space="preserve"> </w:t>
      </w:r>
    </w:p>
    <w:p w:rsidR="00680E69" w:rsidRPr="00680E69" w:rsidRDefault="00680E69" w:rsidP="00680E69">
      <w:pPr>
        <w:pStyle w:val="a3"/>
        <w:spacing w:line="360" w:lineRule="auto"/>
        <w:jc w:val="both"/>
        <w:rPr>
          <w:rFonts w:ascii="Times New Roman" w:hAnsi="Times New Roman"/>
          <w:color w:val="262626"/>
          <w:sz w:val="28"/>
          <w:szCs w:val="28"/>
        </w:rPr>
      </w:pPr>
    </w:p>
    <w:p w:rsidR="00680E69" w:rsidRPr="00680E69" w:rsidRDefault="00680E69" w:rsidP="00680E69">
      <w:pPr>
        <w:spacing w:line="360" w:lineRule="auto"/>
        <w:jc w:val="both"/>
        <w:rPr>
          <w:rFonts w:ascii="Times New Roman" w:hAnsi="Times New Roman" w:cs="Times New Roman"/>
          <w:b/>
          <w:color w:val="262626"/>
          <w:sz w:val="28"/>
          <w:szCs w:val="28"/>
        </w:rPr>
      </w:pPr>
      <w:r w:rsidRPr="00680E69">
        <w:rPr>
          <w:rFonts w:ascii="Times New Roman" w:hAnsi="Times New Roman" w:cs="Times New Roman"/>
          <w:b/>
          <w:color w:val="262626"/>
          <w:sz w:val="28"/>
          <w:szCs w:val="28"/>
        </w:rPr>
        <w:t>Висновки</w:t>
      </w:r>
    </w:p>
    <w:p w:rsidR="00680E69" w:rsidRPr="00680E69" w:rsidRDefault="00680E69" w:rsidP="00680E69">
      <w:pPr>
        <w:spacing w:line="360" w:lineRule="auto"/>
        <w:jc w:val="both"/>
        <w:rPr>
          <w:rFonts w:ascii="Times New Roman" w:hAnsi="Times New Roman" w:cs="Times New Roman"/>
          <w:b/>
          <w:color w:val="262626"/>
          <w:sz w:val="28"/>
          <w:szCs w:val="28"/>
        </w:rPr>
      </w:pPr>
    </w:p>
    <w:p w:rsidR="00680E69" w:rsidRDefault="00680E69" w:rsidP="00680E69">
      <w:pPr>
        <w:spacing w:line="360" w:lineRule="auto"/>
        <w:jc w:val="both"/>
        <w:rPr>
          <w:rFonts w:ascii="Times New Roman" w:hAnsi="Times New Roman" w:cs="Times New Roman"/>
          <w:b/>
          <w:color w:val="262626"/>
          <w:sz w:val="28"/>
          <w:szCs w:val="28"/>
        </w:rPr>
      </w:pPr>
      <w:r w:rsidRPr="00680E69">
        <w:rPr>
          <w:rFonts w:ascii="Times New Roman" w:hAnsi="Times New Roman" w:cs="Times New Roman"/>
          <w:b/>
          <w:color w:val="262626"/>
          <w:sz w:val="28"/>
          <w:szCs w:val="28"/>
        </w:rPr>
        <w:t>Список використаних джерел</w:t>
      </w:r>
    </w:p>
    <w:p w:rsidR="00680E69" w:rsidRDefault="00680E69" w:rsidP="00680E69">
      <w:pPr>
        <w:spacing w:line="360" w:lineRule="auto"/>
        <w:jc w:val="both"/>
        <w:rPr>
          <w:rFonts w:ascii="Times New Roman" w:hAnsi="Times New Roman" w:cs="Times New Roman"/>
          <w:b/>
          <w:color w:val="262626"/>
          <w:sz w:val="28"/>
          <w:szCs w:val="28"/>
        </w:rPr>
      </w:pPr>
    </w:p>
    <w:p w:rsidR="00680E69" w:rsidRDefault="00680E69" w:rsidP="00680E69">
      <w:pPr>
        <w:spacing w:line="360" w:lineRule="auto"/>
        <w:jc w:val="both"/>
        <w:rPr>
          <w:rFonts w:ascii="Times New Roman" w:hAnsi="Times New Roman" w:cs="Times New Roman"/>
          <w:b/>
          <w:color w:val="262626"/>
          <w:sz w:val="28"/>
          <w:szCs w:val="28"/>
        </w:rPr>
      </w:pPr>
    </w:p>
    <w:p w:rsidR="00680E69" w:rsidRDefault="00680E69" w:rsidP="00680E69">
      <w:pPr>
        <w:spacing w:line="360" w:lineRule="auto"/>
        <w:jc w:val="both"/>
        <w:rPr>
          <w:rFonts w:ascii="Times New Roman" w:hAnsi="Times New Roman" w:cs="Times New Roman"/>
          <w:b/>
          <w:color w:val="262626"/>
          <w:sz w:val="28"/>
          <w:szCs w:val="28"/>
        </w:rPr>
      </w:pPr>
    </w:p>
    <w:p w:rsidR="00680E69" w:rsidRDefault="00680E69" w:rsidP="00680E69">
      <w:pPr>
        <w:spacing w:line="360" w:lineRule="auto"/>
        <w:jc w:val="center"/>
        <w:rPr>
          <w:rFonts w:ascii="Times New Roman" w:hAnsi="Times New Roman" w:cs="Times New Roman"/>
          <w:b/>
          <w:color w:val="262626"/>
          <w:sz w:val="28"/>
          <w:szCs w:val="28"/>
        </w:rPr>
      </w:pPr>
      <w:r>
        <w:rPr>
          <w:rFonts w:ascii="Times New Roman" w:hAnsi="Times New Roman" w:cs="Times New Roman"/>
          <w:b/>
          <w:color w:val="262626"/>
          <w:sz w:val="28"/>
          <w:szCs w:val="28"/>
        </w:rPr>
        <w:lastRenderedPageBreak/>
        <w:t>ЗАГАЛЬНА ХАРАКТЕРИСТИКА РОБОТИ</w:t>
      </w:r>
    </w:p>
    <w:p w:rsidR="00680E69" w:rsidRPr="00F56C9E" w:rsidRDefault="00680E69" w:rsidP="00680E69">
      <w:pPr>
        <w:spacing w:line="360" w:lineRule="auto"/>
        <w:jc w:val="both"/>
        <w:rPr>
          <w:sz w:val="28"/>
          <w:szCs w:val="28"/>
        </w:rPr>
      </w:pPr>
      <w:r w:rsidRPr="00F56C9E">
        <w:rPr>
          <w:sz w:val="28"/>
          <w:szCs w:val="28"/>
        </w:rPr>
        <w:t xml:space="preserve">    </w:t>
      </w:r>
      <w:bookmarkStart w:id="0" w:name="_GoBack"/>
      <w:r w:rsidRPr="00F56C9E">
        <w:rPr>
          <w:sz w:val="28"/>
          <w:szCs w:val="28"/>
        </w:rPr>
        <w:t>Українські ліси є державною власністю та належать народу України. Тому кожен громадянин Української держави має право на отримання повної інформації про стан лісів, а також про плюси та мінуси лісової політики. Ліси України, залежно від їх призначення та розташування, здебільшого виконують екологічні (водоохоронні, захисні, санітарно-гігієнічні, оздоровчі та ін.) функції та мають обмежене експлуатаційне значення. Лісове господарство України формувалося під впливом багатьох чинників. Обмеженість лісових ресурсів України істотно впливає на розміри та внутрішньогалузеву структуру деревообробної підгалузі, яка займає важливе місце у структурі лісової, деревообробної та целюлозно-паперової промисловості. Внутрішні запаси деревини скорочуються. Для підтримки поточного рівня виробництва нам необхідно щорічно закуповувати деревину та вироби із неї за кордоном. Повне використання всієї деревної біомаси, вторинних та інших матеріалів та вивільнення деревини в цілому за рахунок використання замінників дозволяє залучити до господарського кругообігу додаткові деревні ресурси.</w:t>
      </w:r>
    </w:p>
    <w:bookmarkEnd w:id="0"/>
    <w:p w:rsidR="00680E69" w:rsidRPr="00F56C9E" w:rsidRDefault="00680E69" w:rsidP="00680E69">
      <w:pPr>
        <w:spacing w:line="360" w:lineRule="auto"/>
        <w:jc w:val="both"/>
        <w:rPr>
          <w:sz w:val="28"/>
          <w:szCs w:val="28"/>
        </w:rPr>
      </w:pPr>
      <w:r w:rsidRPr="00F56C9E">
        <w:rPr>
          <w:sz w:val="28"/>
          <w:szCs w:val="28"/>
        </w:rPr>
        <w:t xml:space="preserve"> Тому основною метою цієї роботи є вивчення особливостей функціонування української митниці та митної політики. Предметом вивчення є система економічних відносин, пов'язаних із формуванням тарифної та митної політики в Україні. Сфера наукових інтересів – митниця та митне регулювання у деревообробній промисловості. сплата митних платежів та інше. Ці заходи ширші та охоплюють різні сторони зовнішньоекономічних зв'язків. </w:t>
      </w:r>
    </w:p>
    <w:p w:rsidR="00680E69" w:rsidRPr="00F56C9E" w:rsidRDefault="00680E69" w:rsidP="00680E69">
      <w:pPr>
        <w:spacing w:line="360" w:lineRule="auto"/>
        <w:jc w:val="both"/>
        <w:rPr>
          <w:sz w:val="28"/>
          <w:szCs w:val="28"/>
        </w:rPr>
      </w:pPr>
      <w:r w:rsidRPr="00F56C9E">
        <w:rPr>
          <w:b/>
          <w:sz w:val="28"/>
          <w:szCs w:val="28"/>
        </w:rPr>
        <w:t>Постановка проблеми та актуальність дослідження.</w:t>
      </w:r>
      <w:r w:rsidRPr="00F56C9E">
        <w:rPr>
          <w:sz w:val="28"/>
          <w:szCs w:val="28"/>
        </w:rPr>
        <w:t xml:space="preserve"> Оскільки важко переоцінити значення лісового господарства та лісогосподарських комплексів для економіки, рекреації, здоров'я людини та підтримки балансу природи в країні, питання розвитку цих галузей поступово ставатиме пріоритетним в Україні. Лісове господарство охоплює всі процеси, пов'язані з відновленням та використанням лісів, які є стратегічними ресурсами, але водночас займають </w:t>
      </w:r>
      <w:r w:rsidRPr="00F56C9E">
        <w:rPr>
          <w:sz w:val="28"/>
          <w:szCs w:val="28"/>
        </w:rPr>
        <w:lastRenderedPageBreak/>
        <w:t>порівняно незначне місце у промисловому виробництві країни. Лісопромислові підприємства виробляють близько 2,4% всього обсягу промислової продукції, у них зайнято близько 4,5% промислово-виробничого персоналу.</w:t>
      </w:r>
    </w:p>
    <w:p w:rsidR="00680E69" w:rsidRPr="00F56C9E" w:rsidRDefault="00680E69" w:rsidP="00680E69">
      <w:pPr>
        <w:spacing w:line="360" w:lineRule="auto"/>
        <w:jc w:val="both"/>
        <w:rPr>
          <w:sz w:val="28"/>
          <w:szCs w:val="28"/>
        </w:rPr>
      </w:pPr>
      <w:r w:rsidRPr="00F56C9E">
        <w:rPr>
          <w:sz w:val="28"/>
          <w:szCs w:val="28"/>
        </w:rPr>
        <w:t xml:space="preserve"> Українська деревообробна промисловість є перспективною </w:t>
      </w:r>
      <w:proofErr w:type="spellStart"/>
      <w:r w:rsidRPr="00F56C9E">
        <w:rPr>
          <w:sz w:val="28"/>
          <w:szCs w:val="28"/>
        </w:rPr>
        <w:t>експортоорієнтованою</w:t>
      </w:r>
      <w:proofErr w:type="spellEnd"/>
      <w:r w:rsidRPr="00F56C9E">
        <w:rPr>
          <w:sz w:val="28"/>
          <w:szCs w:val="28"/>
        </w:rPr>
        <w:t xml:space="preserve"> галуззю національної економіки, але страждає від неефективного використання лісового фонду, відсутності конструктивної державної політики у цій галузі, неналежного обліку лісових ресурсів та неефективного управління. Не лісозаготівлі, а Україна. Експортна діяльність деревообробної промисловості приносить валютний дохід, але водночас призводить до дефіциту сировини для діяльності вітчизняних підприємств. Це визначить актуальність досліджуваних питань та необхідність проведення аналітичних досліджень для формулювання пропозицій щодо підвищення ефективності експортної діяльності деревообробних підприємств.</w:t>
      </w:r>
    </w:p>
    <w:p w:rsidR="00680E69" w:rsidRDefault="00680E69" w:rsidP="00680E69">
      <w:pPr>
        <w:spacing w:line="360" w:lineRule="auto"/>
        <w:jc w:val="both"/>
        <w:rPr>
          <w:sz w:val="28"/>
          <w:szCs w:val="28"/>
        </w:rPr>
      </w:pPr>
      <w:r w:rsidRPr="00F56C9E">
        <w:rPr>
          <w:b/>
          <w:sz w:val="28"/>
          <w:szCs w:val="28"/>
        </w:rPr>
        <w:t>Аналіз останніх досліджень та публікацій.</w:t>
      </w:r>
      <w:r w:rsidRPr="00F56C9E">
        <w:rPr>
          <w:sz w:val="28"/>
          <w:szCs w:val="28"/>
        </w:rPr>
        <w:t xml:space="preserve"> Вивченню зовнішньоекономічної діяльності деревообробних підприємств та їхньої експортної діяльності присвячені роботи </w:t>
      </w:r>
      <w:proofErr w:type="spellStart"/>
      <w:r w:rsidRPr="00F56C9E">
        <w:rPr>
          <w:sz w:val="28"/>
          <w:szCs w:val="28"/>
        </w:rPr>
        <w:t>Азриляна</w:t>
      </w:r>
      <w:proofErr w:type="spellEnd"/>
      <w:r w:rsidRPr="00F56C9E">
        <w:rPr>
          <w:sz w:val="28"/>
          <w:szCs w:val="28"/>
        </w:rPr>
        <w:t xml:space="preserve"> О.М., </w:t>
      </w:r>
      <w:proofErr w:type="spellStart"/>
      <w:r w:rsidRPr="00F56C9E">
        <w:rPr>
          <w:sz w:val="28"/>
          <w:szCs w:val="28"/>
        </w:rPr>
        <w:t>Сейфуллаєвої</w:t>
      </w:r>
      <w:proofErr w:type="spellEnd"/>
      <w:r w:rsidRPr="00F56C9E">
        <w:rPr>
          <w:sz w:val="28"/>
          <w:szCs w:val="28"/>
        </w:rPr>
        <w:t xml:space="preserve"> М.Є., Дейнеко Л.В., </w:t>
      </w:r>
      <w:proofErr w:type="spellStart"/>
      <w:r w:rsidRPr="00F56C9E">
        <w:rPr>
          <w:sz w:val="28"/>
          <w:szCs w:val="28"/>
        </w:rPr>
        <w:t>Пінчевської</w:t>
      </w:r>
      <w:proofErr w:type="spellEnd"/>
      <w:r w:rsidRPr="00F56C9E">
        <w:rPr>
          <w:sz w:val="28"/>
          <w:szCs w:val="28"/>
        </w:rPr>
        <w:t xml:space="preserve"> О.О., Коваля Ю.В., Бондарі В.С. В опублікованих роботах уточнювалися теоретико-методологічні аспекти лісогосподарського комплексу, проводився порівняльний аналіз сучасного стану лісового сектору економіки, </w:t>
      </w:r>
      <w:proofErr w:type="spellStart"/>
      <w:r w:rsidRPr="00F56C9E">
        <w:rPr>
          <w:sz w:val="28"/>
          <w:szCs w:val="28"/>
        </w:rPr>
        <w:t>продемонструвалась</w:t>
      </w:r>
      <w:proofErr w:type="spellEnd"/>
      <w:r w:rsidRPr="00F56C9E">
        <w:rPr>
          <w:sz w:val="28"/>
          <w:szCs w:val="28"/>
        </w:rPr>
        <w:t xml:space="preserve"> необхідність адаптації до європейської системи обліку деревини. Розроблено організаційний механізм забезпечення фінансово-економічної безпеки лісопромислового комплексу України, проте зазначені питання не втрачають своєї актуальності та потребують подальшого дослідження. </w:t>
      </w:r>
      <w:r w:rsidRPr="00F56C9E">
        <w:rPr>
          <w:b/>
          <w:sz w:val="28"/>
          <w:szCs w:val="28"/>
        </w:rPr>
        <w:t>Формування цілей статті (постановка завдання).</w:t>
      </w:r>
      <w:r w:rsidRPr="00F56C9E">
        <w:rPr>
          <w:sz w:val="28"/>
          <w:szCs w:val="28"/>
        </w:rPr>
        <w:t xml:space="preserve"> Метою цієї статті є статистичне дослідження експортної діяльності деревообробних підприємств, виявлення основних тенденцій та проблем їх діяльності. Завдання дослідження полягає у розробці заходів, що рекомендуються, реалізація яких у перспективі призведе до підвищення ефективності експортної діяльності деревообробних підприємств.</w:t>
      </w:r>
    </w:p>
    <w:p w:rsidR="00680E69" w:rsidRDefault="00680E69" w:rsidP="00680E69">
      <w:pPr>
        <w:spacing w:line="360" w:lineRule="auto"/>
        <w:jc w:val="center"/>
        <w:rPr>
          <w:rFonts w:ascii="Times New Roman" w:hAnsi="Times New Roman" w:cs="Times New Roman"/>
          <w:b/>
          <w:sz w:val="28"/>
          <w:szCs w:val="28"/>
        </w:rPr>
      </w:pPr>
      <w:r w:rsidRPr="00680E69">
        <w:rPr>
          <w:rFonts w:ascii="Times New Roman" w:hAnsi="Times New Roman" w:cs="Times New Roman"/>
          <w:b/>
          <w:sz w:val="28"/>
          <w:szCs w:val="28"/>
        </w:rPr>
        <w:lastRenderedPageBreak/>
        <w:t>Основний зміст роботи</w:t>
      </w:r>
    </w:p>
    <w:p w:rsidR="00450B23" w:rsidRPr="00F56C9E" w:rsidRDefault="00450B23" w:rsidP="00450B23">
      <w:pPr>
        <w:spacing w:before="100" w:beforeAutospacing="1" w:after="100" w:afterAutospacing="1" w:line="360" w:lineRule="auto"/>
        <w:jc w:val="both"/>
        <w:rPr>
          <w:color w:val="222222"/>
          <w:sz w:val="28"/>
          <w:szCs w:val="28"/>
          <w:lang w:eastAsia="uk-UA"/>
        </w:rPr>
      </w:pPr>
      <w:r>
        <w:rPr>
          <w:rFonts w:ascii="Times New Roman" w:hAnsi="Times New Roman" w:cs="Times New Roman"/>
          <w:b/>
          <w:sz w:val="28"/>
          <w:szCs w:val="28"/>
        </w:rPr>
        <w:t xml:space="preserve">У розділі 1 </w:t>
      </w:r>
      <w:r w:rsidRPr="00F56C9E">
        <w:rPr>
          <w:rFonts w:ascii="Times New Roman" w:hAnsi="Times New Roman"/>
          <w:b/>
          <w:color w:val="262626"/>
          <w:sz w:val="28"/>
          <w:szCs w:val="28"/>
        </w:rPr>
        <w:t>Теоретико-методичні основи митно регулювання відносин у зовнішньоеко</w:t>
      </w:r>
      <w:r>
        <w:rPr>
          <w:rFonts w:ascii="Times New Roman" w:hAnsi="Times New Roman"/>
          <w:b/>
          <w:color w:val="262626"/>
          <w:sz w:val="28"/>
          <w:szCs w:val="28"/>
        </w:rPr>
        <w:t xml:space="preserve">номічній діяльності підприємств </w:t>
      </w:r>
      <w:r>
        <w:rPr>
          <w:rFonts w:ascii="Times New Roman" w:hAnsi="Times New Roman"/>
          <w:color w:val="262626"/>
          <w:sz w:val="28"/>
          <w:szCs w:val="28"/>
        </w:rPr>
        <w:t>розглядається с</w:t>
      </w:r>
      <w:r w:rsidRPr="00F56C9E">
        <w:rPr>
          <w:color w:val="222222"/>
          <w:sz w:val="28"/>
          <w:szCs w:val="28"/>
          <w:lang w:eastAsia="uk-UA"/>
        </w:rPr>
        <w:t>учасний економічний розвиток</w:t>
      </w:r>
      <w:r>
        <w:rPr>
          <w:color w:val="222222"/>
          <w:sz w:val="28"/>
          <w:szCs w:val="28"/>
          <w:lang w:eastAsia="uk-UA"/>
        </w:rPr>
        <w:t xml:space="preserve">. </w:t>
      </w:r>
      <w:r w:rsidRPr="00F56C9E">
        <w:rPr>
          <w:color w:val="222222"/>
          <w:sz w:val="28"/>
          <w:szCs w:val="28"/>
          <w:lang w:eastAsia="uk-UA"/>
        </w:rPr>
        <w:t>Світовий ринок формується за єдиними правилами, що регулюють усі міжнародні економічні відносини. У світовому економічному просторі діють національні господарські системи, міждержавні та регіональні федерації, формуються великі зони вільної торгівлі, велику роль грають міжнародні угоди про обмін товарами та послугами, збільшується рух коштів.</w:t>
      </w:r>
    </w:p>
    <w:p w:rsidR="00680E69" w:rsidRDefault="00A8336F" w:rsidP="00450B23">
      <w:pPr>
        <w:spacing w:before="100" w:beforeAutospacing="1" w:after="100" w:afterAutospacing="1" w:line="360" w:lineRule="auto"/>
        <w:jc w:val="both"/>
        <w:rPr>
          <w:color w:val="222222"/>
          <w:sz w:val="28"/>
          <w:szCs w:val="28"/>
          <w:lang w:eastAsia="uk-UA"/>
        </w:rPr>
      </w:pPr>
      <w:r>
        <w:rPr>
          <w:color w:val="222222"/>
          <w:sz w:val="28"/>
          <w:szCs w:val="28"/>
          <w:lang w:eastAsia="uk-UA"/>
        </w:rPr>
        <w:t>Зокрема розглядаються</w:t>
      </w:r>
      <w:r w:rsidR="00450B23" w:rsidRPr="00F56C9E">
        <w:rPr>
          <w:color w:val="222222"/>
          <w:sz w:val="28"/>
          <w:szCs w:val="28"/>
          <w:lang w:eastAsia="uk-UA"/>
        </w:rPr>
        <w:t xml:space="preserve"> зовнішньоекономічні зв'язки</w:t>
      </w:r>
      <w:r>
        <w:rPr>
          <w:color w:val="222222"/>
          <w:sz w:val="28"/>
          <w:szCs w:val="28"/>
          <w:lang w:eastAsia="uk-UA"/>
        </w:rPr>
        <w:t>, які</w:t>
      </w:r>
      <w:r w:rsidR="00450B23" w:rsidRPr="00F56C9E">
        <w:rPr>
          <w:color w:val="222222"/>
          <w:sz w:val="28"/>
          <w:szCs w:val="28"/>
          <w:lang w:eastAsia="uk-UA"/>
        </w:rPr>
        <w:t xml:space="preserve"> є об'єктивно обумовленою потребою, важливим чинником економічного зростання та складовою внутрішнього процесу розширеного відтворення. Вони дедалі більше визначають як швидкість і швидкість процесу виробництва, а й обміну і розподілу. У багатьох країнах саме світогосподарські зв'язки визначають стан національної економіки, і надалі ця тенденція посилюватиметься.</w:t>
      </w:r>
    </w:p>
    <w:p w:rsidR="00A8336F" w:rsidRDefault="00A8336F" w:rsidP="00450B23">
      <w:pPr>
        <w:spacing w:before="100" w:beforeAutospacing="1" w:after="100" w:afterAutospacing="1" w:line="360" w:lineRule="auto"/>
        <w:jc w:val="both"/>
        <w:rPr>
          <w:rFonts w:ascii="Times New Roman" w:hAnsi="Times New Roman"/>
          <w:b/>
          <w:color w:val="262626"/>
          <w:sz w:val="28"/>
          <w:szCs w:val="28"/>
        </w:rPr>
      </w:pPr>
      <w:r>
        <w:rPr>
          <w:color w:val="222222"/>
          <w:sz w:val="28"/>
          <w:szCs w:val="28"/>
          <w:lang w:eastAsia="uk-UA"/>
        </w:rPr>
        <w:t>У розділі 2</w:t>
      </w:r>
      <w:r w:rsidR="002C066A">
        <w:rPr>
          <w:color w:val="222222"/>
          <w:sz w:val="28"/>
          <w:szCs w:val="28"/>
          <w:lang w:eastAsia="uk-UA"/>
        </w:rPr>
        <w:t xml:space="preserve"> </w:t>
      </w:r>
      <w:r w:rsidR="002C066A" w:rsidRPr="002C066A">
        <w:rPr>
          <w:rFonts w:ascii="Times New Roman" w:hAnsi="Times New Roman"/>
          <w:color w:val="262626"/>
          <w:sz w:val="28"/>
          <w:szCs w:val="28"/>
        </w:rPr>
        <w:t>Загальна характеристика лісів та лісового господарства України розглядається ліси як екологічна цінність та специфіка використання лісових ресурсів.</w:t>
      </w:r>
    </w:p>
    <w:p w:rsidR="002C066A" w:rsidRPr="002C066A" w:rsidRDefault="002C066A" w:rsidP="00450B23">
      <w:pPr>
        <w:spacing w:before="100" w:beforeAutospacing="1" w:after="100" w:afterAutospacing="1" w:line="360" w:lineRule="auto"/>
        <w:jc w:val="both"/>
        <w:rPr>
          <w:color w:val="222222"/>
          <w:sz w:val="28"/>
          <w:szCs w:val="28"/>
          <w:lang w:eastAsia="uk-UA"/>
        </w:rPr>
      </w:pPr>
      <w:r>
        <w:rPr>
          <w:rFonts w:ascii="Times New Roman" w:hAnsi="Times New Roman"/>
          <w:b/>
          <w:color w:val="262626"/>
          <w:sz w:val="28"/>
          <w:szCs w:val="28"/>
        </w:rPr>
        <w:t xml:space="preserve">У розділі 3 </w:t>
      </w:r>
      <w:r w:rsidRPr="00F56C9E">
        <w:rPr>
          <w:b/>
          <w:color w:val="333333"/>
          <w:sz w:val="28"/>
          <w:szCs w:val="28"/>
          <w:shd w:val="clear" w:color="auto" w:fill="FFFFFF"/>
        </w:rPr>
        <w:t>Економічний потенціал та експортна діяльність дерев</w:t>
      </w:r>
      <w:r>
        <w:rPr>
          <w:b/>
          <w:color w:val="333333"/>
          <w:sz w:val="28"/>
          <w:szCs w:val="28"/>
          <w:shd w:val="clear" w:color="auto" w:fill="FFFFFF"/>
        </w:rPr>
        <w:t xml:space="preserve">ообробних виробництв  в Україні розглядається </w:t>
      </w:r>
      <w:r>
        <w:rPr>
          <w:color w:val="262626"/>
          <w:sz w:val="28"/>
          <w:szCs w:val="28"/>
        </w:rPr>
        <w:t>з</w:t>
      </w:r>
      <w:r w:rsidRPr="00F56C9E">
        <w:rPr>
          <w:color w:val="262626"/>
          <w:sz w:val="28"/>
          <w:szCs w:val="28"/>
        </w:rPr>
        <w:t>овнішня торгівля продукцією деревообробної промисловості України</w:t>
      </w:r>
      <w:r>
        <w:rPr>
          <w:color w:val="262626"/>
          <w:sz w:val="28"/>
          <w:szCs w:val="28"/>
        </w:rPr>
        <w:t xml:space="preserve">, яка </w:t>
      </w:r>
      <w:r w:rsidRPr="00F56C9E">
        <w:rPr>
          <w:color w:val="262626"/>
          <w:sz w:val="28"/>
          <w:szCs w:val="28"/>
        </w:rPr>
        <w:t xml:space="preserve"> є одним із спірних питань економічного, соціального та політичного простору. У зв'язку з цим нижче наведено порівняльну оцінку зовнішньоторговельного обороту продукції деревообробної промисловості України та країн ЄС. Проведені дослідження показали, що українська деревообробна промисловість домінує у більшості країн ЄС із високою лісистістю та дуже великими лісовими запасами за експортною спрямованістю.</w:t>
      </w:r>
    </w:p>
    <w:p w:rsidR="00A8336F" w:rsidRPr="00450B23" w:rsidRDefault="00A8336F" w:rsidP="00450B23">
      <w:pPr>
        <w:spacing w:before="100" w:beforeAutospacing="1" w:after="100" w:afterAutospacing="1" w:line="360" w:lineRule="auto"/>
        <w:jc w:val="both"/>
        <w:rPr>
          <w:color w:val="222222"/>
          <w:sz w:val="28"/>
          <w:szCs w:val="28"/>
          <w:lang w:eastAsia="uk-UA"/>
        </w:rPr>
      </w:pPr>
    </w:p>
    <w:p w:rsidR="00680E69" w:rsidRPr="00680E69" w:rsidRDefault="00680E69" w:rsidP="00680E69">
      <w:pPr>
        <w:spacing w:line="360" w:lineRule="auto"/>
        <w:jc w:val="both"/>
        <w:rPr>
          <w:rFonts w:ascii="Times New Roman" w:hAnsi="Times New Roman" w:cs="Times New Roman"/>
          <w:b/>
          <w:color w:val="262626"/>
          <w:sz w:val="28"/>
          <w:szCs w:val="28"/>
        </w:rPr>
      </w:pPr>
      <w:r w:rsidRPr="00680E69">
        <w:rPr>
          <w:rFonts w:ascii="Times New Roman" w:hAnsi="Times New Roman" w:cs="Times New Roman"/>
          <w:b/>
          <w:color w:val="262626"/>
          <w:sz w:val="28"/>
          <w:szCs w:val="28"/>
        </w:rPr>
        <w:lastRenderedPageBreak/>
        <w:t xml:space="preserve"> </w:t>
      </w:r>
    </w:p>
    <w:p w:rsidR="00680E69" w:rsidRPr="00F56C9E" w:rsidRDefault="00680E69" w:rsidP="00680E69">
      <w:pPr>
        <w:spacing w:line="360" w:lineRule="auto"/>
        <w:jc w:val="both"/>
        <w:rPr>
          <w:sz w:val="28"/>
          <w:szCs w:val="28"/>
        </w:rPr>
      </w:pPr>
    </w:p>
    <w:p w:rsidR="00680E69" w:rsidRPr="00F56C9E" w:rsidRDefault="00680E69" w:rsidP="00680E69">
      <w:pPr>
        <w:spacing w:line="360" w:lineRule="auto"/>
        <w:jc w:val="both"/>
        <w:rPr>
          <w:sz w:val="28"/>
          <w:szCs w:val="28"/>
        </w:rPr>
      </w:pPr>
    </w:p>
    <w:p w:rsidR="00680E69" w:rsidRPr="00680E69" w:rsidRDefault="00680E69" w:rsidP="00680E69">
      <w:pPr>
        <w:rPr>
          <w:rFonts w:ascii="Times New Roman" w:hAnsi="Times New Roman" w:cs="Times New Roman"/>
          <w:sz w:val="28"/>
          <w:szCs w:val="28"/>
        </w:rPr>
      </w:pPr>
    </w:p>
    <w:sectPr w:rsidR="00680E69" w:rsidRPr="00680E6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8B408D"/>
    <w:multiLevelType w:val="multilevel"/>
    <w:tmpl w:val="5CA6B33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7A431F3A"/>
    <w:multiLevelType w:val="multilevel"/>
    <w:tmpl w:val="243EA06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53F"/>
    <w:rsid w:val="000E653F"/>
    <w:rsid w:val="002C066A"/>
    <w:rsid w:val="00450B23"/>
    <w:rsid w:val="00680E69"/>
    <w:rsid w:val="00713B63"/>
    <w:rsid w:val="00A8336F"/>
    <w:rsid w:val="00E24A1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80E69"/>
    <w:pPr>
      <w:ind w:left="720"/>
      <w:contextualSpacing/>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80E69"/>
    <w:pPr>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1098</Words>
  <Characters>6261</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Admin</cp:lastModifiedBy>
  <cp:revision>2</cp:revision>
  <dcterms:created xsi:type="dcterms:W3CDTF">2023-02-13T21:40:00Z</dcterms:created>
  <dcterms:modified xsi:type="dcterms:W3CDTF">2023-02-13T21:40:00Z</dcterms:modified>
</cp:coreProperties>
</file>