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FE" w:rsidRDefault="006717FE" w:rsidP="006717FE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УДК 811.162.1</w:t>
      </w:r>
    </w:p>
    <w:p w:rsidR="006717FE" w:rsidRDefault="006717FE" w:rsidP="006717FE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ББК 81.2(Пол) 22</w:t>
      </w:r>
    </w:p>
    <w:p w:rsidR="006717FE" w:rsidRDefault="006717FE" w:rsidP="006717FE">
      <w:pPr>
        <w:spacing w:line="36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="00DD4552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СИНТАКСИЧНА</w:t>
      </w:r>
      <w:r w:rsidR="00DB6E51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DD4552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ОСОБА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 В  ІНФІНІТИВНОМУ  РЕЧЕННІ  В </w:t>
      </w:r>
    </w:p>
    <w:p w:rsidR="006717FE" w:rsidRDefault="00AA6DE8" w:rsidP="006717FE">
      <w:pPr>
        <w:spacing w:line="36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                  УКРАЇНСЬКІЙ  І  ПОЛЬСЬКІЙ</w:t>
      </w:r>
      <w:r w:rsidR="006717FE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 МОВ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АХ</w:t>
      </w:r>
    </w:p>
    <w:p w:rsidR="00AA629D" w:rsidRDefault="00AA629D" w:rsidP="006717FE">
      <w:pPr>
        <w:spacing w:line="36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                                                     О. Р. Корпало</w:t>
      </w:r>
    </w:p>
    <w:p w:rsidR="00AA629D" w:rsidRDefault="00AA629D" w:rsidP="006717FE">
      <w:pPr>
        <w:spacing w:line="360" w:lineRule="auto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Прикарпатський національний університет ім. Василя Стефаника; Факультет філології, кафедра слов</w:t>
      </w:r>
      <w:r w:rsidRPr="00AA629D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янських мов; м. Івано-Франківськ, вул. Шевченка, 57; тел.: +380 (З42)59-60-63</w:t>
      </w:r>
    </w:p>
    <w:p w:rsidR="00AA629D" w:rsidRDefault="00AA629D" w:rsidP="00DB6E51">
      <w:pPr>
        <w:spacing w:line="360" w:lineRule="auto"/>
        <w:ind w:firstLine="708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У статті </w:t>
      </w:r>
      <w:r w:rsidR="000410F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в зіставному аспекті 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проаналізовано семантичну двоскладність інфінітивних односкладних речень</w:t>
      </w:r>
      <w:r w:rsidR="000410F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, дію в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яких здійснює конкретна або узагальнена особа. З</w:t>
      </w:r>
      <w:r w:rsidRPr="00DB6E51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ясовано </w:t>
      </w:r>
      <w:r w:rsidR="00DB6E5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способи вираження синтаксичної особи в реченнях з експліцитним та імпліцитним </w:t>
      </w:r>
      <w:r w:rsidR="000410F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давальним агенс</w:t>
      </w:r>
      <w:r w:rsidR="00DB6E5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и</w:t>
      </w:r>
      <w:r w:rsidR="000410F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вним</w:t>
      </w:r>
      <w:r w:rsidR="00DB6E5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.</w:t>
      </w:r>
    </w:p>
    <w:p w:rsidR="00DB6E51" w:rsidRPr="00DB6E51" w:rsidRDefault="00DB6E51" w:rsidP="00DB6E51">
      <w:pPr>
        <w:spacing w:line="360" w:lineRule="auto"/>
        <w:ind w:firstLine="708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Ключові слова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: синтаксична особа, інфінітивне одно</w:t>
      </w:r>
      <w:r w:rsidR="000410F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складне речення, давальний агенс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ивний, означена і узагальнена особа.</w:t>
      </w:r>
    </w:p>
    <w:p w:rsidR="00DB6E51" w:rsidRDefault="00DB6E51" w:rsidP="006717FE">
      <w:pPr>
        <w:spacing w:line="360" w:lineRule="auto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      </w:t>
      </w:r>
    </w:p>
    <w:p w:rsidR="006717FE" w:rsidRPr="00DB6E51" w:rsidRDefault="006717FE" w:rsidP="00DB6E51">
      <w:pPr>
        <w:spacing w:line="360" w:lineRule="auto"/>
        <w:ind w:firstLine="708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 w:rsidRPr="006717FE">
        <w:rPr>
          <w:rFonts w:ascii="Times New Roman" w:hAnsi="Times New Roman"/>
          <w:sz w:val="28"/>
          <w:szCs w:val="28"/>
        </w:rPr>
        <w:t>У сучасному світі постійно посилюються контакти і взаємодія різних мов, що зумовлює появу зіставно-типологічних студій. Зіставна методика передбачає вивчення  «як спільних, так і відмінних ознак  переважно двох мов</w:t>
      </w:r>
      <w:r w:rsidR="000410FA">
        <w:rPr>
          <w:rFonts w:ascii="Times New Roman" w:hAnsi="Times New Roman"/>
          <w:sz w:val="28"/>
          <w:szCs w:val="28"/>
        </w:rPr>
        <w:t xml:space="preserve"> у їхньому синхронному вимірі» </w:t>
      </w:r>
      <w:r w:rsidR="000410FA" w:rsidRPr="000410FA">
        <w:rPr>
          <w:rFonts w:ascii="Times New Roman" w:hAnsi="Times New Roman"/>
          <w:sz w:val="28"/>
          <w:szCs w:val="28"/>
          <w:lang w:val="ru-RU"/>
        </w:rPr>
        <w:t>[</w:t>
      </w:r>
      <w:r w:rsidR="00DD4552">
        <w:rPr>
          <w:rFonts w:ascii="Times New Roman" w:hAnsi="Times New Roman"/>
          <w:sz w:val="28"/>
          <w:szCs w:val="28"/>
        </w:rPr>
        <w:t>3</w:t>
      </w:r>
      <w:r w:rsidR="000410FA">
        <w:rPr>
          <w:rFonts w:ascii="Times New Roman" w:hAnsi="Times New Roman"/>
          <w:sz w:val="28"/>
          <w:szCs w:val="28"/>
        </w:rPr>
        <w:t>, с.9</w:t>
      </w:r>
      <w:r w:rsidR="000410FA" w:rsidRPr="000410FA">
        <w:rPr>
          <w:rFonts w:ascii="Times New Roman" w:hAnsi="Times New Roman"/>
          <w:sz w:val="28"/>
          <w:szCs w:val="28"/>
          <w:lang w:val="ru-RU"/>
        </w:rPr>
        <w:t>]</w:t>
      </w:r>
      <w:r w:rsidRPr="006717FE">
        <w:rPr>
          <w:rFonts w:ascii="Times New Roman" w:hAnsi="Times New Roman"/>
          <w:sz w:val="28"/>
          <w:szCs w:val="28"/>
        </w:rPr>
        <w:t>. Порівняння мов у типологічних виявах  сприяє вирішенню багатьох проблем, пов’язаних  із  теоретичним осмисленням місця мови в ментально-культурологічних процесах загалом, із практичними потребами вивчення чужих мов, із зростанням масштабів перекладацької діяльності та</w:t>
      </w:r>
      <w:r w:rsidR="000410FA">
        <w:rPr>
          <w:rFonts w:ascii="Times New Roman" w:hAnsi="Times New Roman"/>
          <w:sz w:val="28"/>
          <w:szCs w:val="28"/>
        </w:rPr>
        <w:t xml:space="preserve"> й</w:t>
      </w:r>
      <w:r w:rsidRPr="006717FE">
        <w:rPr>
          <w:rFonts w:ascii="Times New Roman" w:hAnsi="Times New Roman"/>
          <w:sz w:val="28"/>
          <w:szCs w:val="28"/>
        </w:rPr>
        <w:t>, зрештою, із поглибленим вивченням рідної мови. Структурно-семантичний підхід при кваліфікації мовних систем споріднених мов, до яких  належать українська і польська мови, найбільш функціонально окреслений на граматичному рівні.</w:t>
      </w:r>
    </w:p>
    <w:p w:rsidR="000410FA" w:rsidRDefault="006717FE" w:rsidP="006717FE">
      <w:pPr>
        <w:spacing w:line="360" w:lineRule="auto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F243E"/>
          <w:sz w:val="28"/>
          <w:szCs w:val="28"/>
        </w:rPr>
        <w:t xml:space="preserve">        Синтаксична особа (особовість) </w:t>
      </w:r>
      <w:r w:rsidR="000410FA">
        <w:rPr>
          <w:rFonts w:ascii="Times New Roman" w:hAnsi="Times New Roman"/>
          <w:color w:val="0F243E"/>
          <w:sz w:val="28"/>
          <w:szCs w:val="28"/>
        </w:rPr>
        <w:t xml:space="preserve"> </w:t>
      </w:r>
      <w:r>
        <w:rPr>
          <w:rFonts w:ascii="Times New Roman" w:hAnsi="Times New Roman"/>
          <w:color w:val="0F243E"/>
          <w:sz w:val="28"/>
          <w:szCs w:val="28"/>
        </w:rPr>
        <w:t xml:space="preserve">– </w:t>
      </w:r>
      <w:r w:rsidR="000410FA">
        <w:rPr>
          <w:rFonts w:ascii="Times New Roman" w:hAnsi="Times New Roman"/>
          <w:color w:val="0F243E"/>
          <w:sz w:val="28"/>
          <w:szCs w:val="28"/>
        </w:rPr>
        <w:t xml:space="preserve"> </w:t>
      </w:r>
      <w:r>
        <w:rPr>
          <w:rFonts w:ascii="Times New Roman" w:hAnsi="Times New Roman"/>
          <w:color w:val="0F243E"/>
          <w:sz w:val="28"/>
          <w:szCs w:val="28"/>
        </w:rPr>
        <w:t xml:space="preserve">це багатоаспектна </w:t>
      </w:r>
      <w:r w:rsidRPr="001C1F70">
        <w:rPr>
          <w:rFonts w:ascii="Times New Roman" w:hAnsi="Times New Roman"/>
          <w:sz w:val="28"/>
          <w:szCs w:val="28"/>
        </w:rPr>
        <w:t xml:space="preserve"> об’єктивно-</w:t>
      </w:r>
    </w:p>
    <w:p w:rsidR="006717FE" w:rsidRPr="00CE0B01" w:rsidRDefault="006717FE" w:rsidP="00CE0B01">
      <w:pPr>
        <w:spacing w:line="36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C1F70">
        <w:rPr>
          <w:rFonts w:ascii="Times New Roman" w:hAnsi="Times New Roman"/>
          <w:sz w:val="28"/>
          <w:szCs w:val="28"/>
        </w:rPr>
        <w:lastRenderedPageBreak/>
        <w:t>суб’єктивна</w:t>
      </w:r>
      <w:r>
        <w:rPr>
          <w:rFonts w:ascii="Times New Roman" w:hAnsi="Times New Roman"/>
          <w:sz w:val="28"/>
          <w:szCs w:val="28"/>
        </w:rPr>
        <w:t xml:space="preserve"> категорія,</w:t>
      </w:r>
      <w:r w:rsidRPr="006709EA">
        <w:rPr>
          <w:rFonts w:ascii="Times New Roman" w:hAnsi="Times New Roman"/>
          <w:color w:val="0F243E"/>
          <w:sz w:val="28"/>
          <w:szCs w:val="28"/>
        </w:rPr>
        <w:t xml:space="preserve"> </w:t>
      </w:r>
      <w:r w:rsidRPr="00AF2A39">
        <w:rPr>
          <w:rFonts w:ascii="Times New Roman" w:hAnsi="Times New Roman"/>
          <w:color w:val="0F243E"/>
          <w:sz w:val="28"/>
          <w:szCs w:val="28"/>
        </w:rPr>
        <w:t>яка  разом з темпоральністю і модальністю формує речення як основну синтаксичну одиниц</w:t>
      </w:r>
      <w:r>
        <w:rPr>
          <w:rFonts w:ascii="Times New Roman" w:hAnsi="Times New Roman"/>
          <w:color w:val="0F243E"/>
          <w:sz w:val="28"/>
          <w:szCs w:val="28"/>
        </w:rPr>
        <w:t>ю і</w:t>
      </w:r>
      <w:r w:rsidRPr="001C1F70">
        <w:rPr>
          <w:rFonts w:ascii="Times New Roman" w:hAnsi="Times New Roman"/>
          <w:sz w:val="28"/>
          <w:szCs w:val="28"/>
        </w:rPr>
        <w:t xml:space="preserve"> виражає відношення сказаного до мовця, до адресата мовлення або до третьої особи (неучасника комунікати</w:t>
      </w:r>
      <w:r>
        <w:rPr>
          <w:rFonts w:ascii="Times New Roman" w:hAnsi="Times New Roman"/>
          <w:sz w:val="28"/>
          <w:szCs w:val="28"/>
        </w:rPr>
        <w:t xml:space="preserve">вного процесу). </w:t>
      </w:r>
      <w:r w:rsidRPr="00AF2A39">
        <w:rPr>
          <w:rFonts w:ascii="Times New Roman" w:hAnsi="Times New Roman"/>
          <w:color w:val="0F243E"/>
          <w:sz w:val="28"/>
          <w:szCs w:val="28"/>
        </w:rPr>
        <w:t xml:space="preserve">Відображаючи відношення </w:t>
      </w:r>
      <w:r w:rsidRPr="00AF2A39">
        <w:rPr>
          <w:rFonts w:ascii="Times New Roman" w:hAnsi="Times New Roman"/>
          <w:color w:val="0F243E"/>
          <w:sz w:val="28"/>
          <w:szCs w:val="28"/>
          <w:lang w:val="ru-RU"/>
        </w:rPr>
        <w:t xml:space="preserve"> „</w:t>
      </w:r>
      <w:r w:rsidRPr="00AF2A39">
        <w:rPr>
          <w:rFonts w:ascii="Times New Roman" w:hAnsi="Times New Roman"/>
          <w:color w:val="0F243E"/>
          <w:sz w:val="28"/>
          <w:szCs w:val="28"/>
        </w:rPr>
        <w:t>діяч – дія</w:t>
      </w:r>
      <w:r w:rsidRPr="00AF2A39">
        <w:rPr>
          <w:rFonts w:ascii="Times New Roman" w:hAnsi="Times New Roman"/>
          <w:color w:val="0F243E"/>
          <w:sz w:val="28"/>
          <w:szCs w:val="28"/>
          <w:lang w:val="ru-RU"/>
        </w:rPr>
        <w:t>”</w:t>
      </w:r>
      <w:r>
        <w:rPr>
          <w:rFonts w:ascii="Times New Roman" w:hAnsi="Times New Roman"/>
          <w:color w:val="0F243E"/>
          <w:sz w:val="28"/>
          <w:szCs w:val="28"/>
        </w:rPr>
        <w:t>,  агенс</w:t>
      </w:r>
      <w:r w:rsidRPr="00AF2A39">
        <w:rPr>
          <w:rFonts w:ascii="Times New Roman" w:hAnsi="Times New Roman"/>
          <w:color w:val="0F243E"/>
          <w:sz w:val="28"/>
          <w:szCs w:val="28"/>
        </w:rPr>
        <w:t>ивне значення виявляється в контексті чи в умовах конкретної мовленнєвої ситуації і створюється семантико-синтаксичним характером реченн</w:t>
      </w:r>
      <w:r w:rsidR="000410FA">
        <w:rPr>
          <w:rFonts w:ascii="Times New Roman" w:hAnsi="Times New Roman"/>
          <w:color w:val="0F243E"/>
          <w:sz w:val="28"/>
          <w:szCs w:val="28"/>
        </w:rPr>
        <w:t xml:space="preserve">я. </w:t>
      </w:r>
      <w:r w:rsidRPr="00AF2A39">
        <w:rPr>
          <w:rFonts w:ascii="Times New Roman" w:hAnsi="Times New Roman"/>
          <w:color w:val="0F243E"/>
          <w:sz w:val="28"/>
          <w:szCs w:val="28"/>
        </w:rPr>
        <w:t>Якщо граматичний суб’єкт експліцитний (словесно виражений), особа постає як конкретна</w:t>
      </w:r>
      <w:r>
        <w:rPr>
          <w:rFonts w:ascii="Times New Roman" w:hAnsi="Times New Roman"/>
          <w:color w:val="0F243E"/>
          <w:sz w:val="28"/>
          <w:szCs w:val="28"/>
        </w:rPr>
        <w:t>.</w:t>
      </w:r>
      <w:r>
        <w:rPr>
          <w:rFonts w:ascii="Times New Roman" w:hAnsi="Times New Roman"/>
          <w:color w:val="0F243E"/>
          <w:sz w:val="28"/>
          <w:szCs w:val="28"/>
          <w:shd w:val="clear" w:color="auto" w:fill="FFFFFF"/>
        </w:rPr>
        <w:t xml:space="preserve">  </w:t>
      </w:r>
      <w:r w:rsidRPr="00AF2A39">
        <w:rPr>
          <w:rFonts w:ascii="Times New Roman" w:hAnsi="Times New Roman"/>
          <w:color w:val="0F243E"/>
          <w:sz w:val="28"/>
          <w:szCs w:val="28"/>
          <w:shd w:val="clear" w:color="auto" w:fill="FFFFFF"/>
        </w:rPr>
        <w:t xml:space="preserve">Якщо граматичний суб’єкт не вербалізований, на суб’єкт </w:t>
      </w:r>
      <w:r>
        <w:rPr>
          <w:rFonts w:ascii="Times New Roman" w:hAnsi="Times New Roman"/>
          <w:color w:val="0F243E"/>
          <w:sz w:val="28"/>
          <w:szCs w:val="28"/>
          <w:shd w:val="clear" w:color="auto" w:fill="FFFFFF"/>
        </w:rPr>
        <w:t>зазвичай у</w:t>
      </w:r>
      <w:r w:rsidRPr="00AF2A39">
        <w:rPr>
          <w:rFonts w:ascii="Times New Roman" w:hAnsi="Times New Roman"/>
          <w:color w:val="0F243E"/>
          <w:sz w:val="28"/>
          <w:szCs w:val="28"/>
          <w:shd w:val="clear" w:color="auto" w:fill="FFFFFF"/>
        </w:rPr>
        <w:t xml:space="preserve">казує форма дієслова-присудка  й </w:t>
      </w:r>
      <w:r>
        <w:rPr>
          <w:rFonts w:ascii="Times New Roman" w:hAnsi="Times New Roman"/>
          <w:color w:val="0F243E"/>
          <w:sz w:val="28"/>
          <w:szCs w:val="28"/>
          <w:shd w:val="clear" w:color="auto" w:fill="FFFFFF"/>
        </w:rPr>
        <w:t xml:space="preserve"> </w:t>
      </w:r>
      <w:r w:rsidRPr="00AF2A39">
        <w:rPr>
          <w:rFonts w:ascii="Times New Roman" w:hAnsi="Times New Roman"/>
          <w:color w:val="0F243E"/>
          <w:sz w:val="28"/>
          <w:szCs w:val="28"/>
          <w:shd w:val="clear" w:color="auto" w:fill="FFFFFF"/>
        </w:rPr>
        <w:t>особа при цьому постає  як</w:t>
      </w:r>
      <w:r w:rsidR="00CE0B01">
        <w:rPr>
          <w:rFonts w:ascii="Times New Roman" w:hAnsi="Times New Roman"/>
          <w:color w:val="0F243E"/>
          <w:sz w:val="28"/>
          <w:szCs w:val="28"/>
          <w:shd w:val="clear" w:color="auto" w:fill="FFFFFF"/>
        </w:rPr>
        <w:t xml:space="preserve"> означена</w:t>
      </w:r>
      <w:r>
        <w:rPr>
          <w:rFonts w:ascii="Times New Roman" w:hAnsi="Times New Roman"/>
          <w:color w:val="0F243E"/>
          <w:sz w:val="28"/>
          <w:szCs w:val="28"/>
          <w:shd w:val="clear" w:color="auto" w:fill="FFFFFF"/>
        </w:rPr>
        <w:t xml:space="preserve">, неозначена чи узагальнена. </w:t>
      </w:r>
      <w:r w:rsidRPr="00AF2A39">
        <w:rPr>
          <w:rFonts w:ascii="Times New Roman" w:hAnsi="Times New Roman"/>
          <w:color w:val="0F243E"/>
          <w:sz w:val="28"/>
          <w:szCs w:val="28"/>
          <w:shd w:val="clear" w:color="auto" w:fill="FFFFFF"/>
        </w:rPr>
        <w:t>При нульовому (з формально-граматичних позицій) суб’єктові з’являється  граматична безособовість</w:t>
      </w:r>
      <w:r>
        <w:rPr>
          <w:rFonts w:ascii="Times New Roman" w:hAnsi="Times New Roman"/>
          <w:color w:val="0F243E"/>
          <w:sz w:val="28"/>
          <w:szCs w:val="28"/>
          <w:shd w:val="clear" w:color="auto" w:fill="FFFFFF"/>
        </w:rPr>
        <w:t xml:space="preserve">. </w:t>
      </w:r>
      <w:r w:rsidRPr="00AF2A39">
        <w:rPr>
          <w:rFonts w:ascii="Times New Roman" w:hAnsi="Times New Roman"/>
          <w:color w:val="0F243E"/>
          <w:sz w:val="28"/>
          <w:szCs w:val="28"/>
          <w:shd w:val="clear" w:color="auto" w:fill="FFFFFF"/>
        </w:rPr>
        <w:t>Однак це не означає, що категорія синтаксичної особи (суб’єкт-діяч, агенс) в таких реченнях відсутня.</w:t>
      </w:r>
      <w:r>
        <w:rPr>
          <w:rFonts w:ascii="Times New Roman" w:hAnsi="Times New Roman"/>
          <w:color w:val="0F243E"/>
          <w:sz w:val="28"/>
          <w:szCs w:val="28"/>
          <w:shd w:val="clear" w:color="auto" w:fill="FFFFFF"/>
        </w:rPr>
        <w:t xml:space="preserve"> Тому </w:t>
      </w:r>
      <w:r w:rsidRPr="00AF2A39">
        <w:rPr>
          <w:rFonts w:ascii="Times New Roman" w:hAnsi="Times New Roman"/>
          <w:color w:val="0F243E"/>
          <w:sz w:val="28"/>
          <w:szCs w:val="28"/>
          <w:lang w:val="ru-RU"/>
        </w:rPr>
        <w:t>о</w:t>
      </w:r>
      <w:r w:rsidRPr="00AF2A39">
        <w:rPr>
          <w:rFonts w:ascii="Times New Roman" w:hAnsi="Times New Roman"/>
          <w:color w:val="0F243E"/>
          <w:sz w:val="28"/>
          <w:szCs w:val="28"/>
        </w:rPr>
        <w:t>значений, неозначений і узагальнений агенс убачаємо</w:t>
      </w:r>
      <w:r>
        <w:rPr>
          <w:rFonts w:ascii="Times New Roman" w:hAnsi="Times New Roman"/>
          <w:color w:val="0F243E"/>
          <w:sz w:val="28"/>
          <w:szCs w:val="28"/>
        </w:rPr>
        <w:t xml:space="preserve"> не лише в однойменних </w:t>
      </w:r>
      <w:r w:rsidRPr="00AF2A39">
        <w:rPr>
          <w:rFonts w:ascii="Times New Roman" w:hAnsi="Times New Roman"/>
          <w:color w:val="0F243E"/>
          <w:sz w:val="28"/>
          <w:szCs w:val="28"/>
        </w:rPr>
        <w:t>односкладних реченнях, а</w:t>
      </w:r>
      <w:r>
        <w:rPr>
          <w:rFonts w:ascii="Times New Roman" w:hAnsi="Times New Roman"/>
          <w:color w:val="0F243E"/>
          <w:sz w:val="28"/>
          <w:szCs w:val="28"/>
        </w:rPr>
        <w:t xml:space="preserve"> </w:t>
      </w:r>
      <w:r w:rsidRPr="00AF2A39">
        <w:rPr>
          <w:rFonts w:ascii="Times New Roman" w:hAnsi="Times New Roman"/>
          <w:color w:val="0F243E"/>
          <w:sz w:val="28"/>
          <w:szCs w:val="28"/>
        </w:rPr>
        <w:t xml:space="preserve"> й у двоскладних, </w:t>
      </w:r>
      <w:r>
        <w:rPr>
          <w:rFonts w:ascii="Times New Roman" w:hAnsi="Times New Roman"/>
          <w:color w:val="0F243E"/>
          <w:sz w:val="28"/>
          <w:szCs w:val="28"/>
        </w:rPr>
        <w:t xml:space="preserve">а також у т. зв. безособових </w:t>
      </w:r>
      <w:r w:rsidR="00CE0B01">
        <w:rPr>
          <w:rFonts w:ascii="Times New Roman" w:hAnsi="Times New Roman"/>
          <w:color w:val="0F243E"/>
          <w:sz w:val="28"/>
          <w:szCs w:val="28"/>
        </w:rPr>
        <w:t xml:space="preserve">та інфінітивних </w:t>
      </w:r>
      <w:r>
        <w:rPr>
          <w:rFonts w:ascii="Times New Roman" w:hAnsi="Times New Roman"/>
          <w:color w:val="0F243E"/>
          <w:sz w:val="28"/>
          <w:szCs w:val="28"/>
        </w:rPr>
        <w:t>реченнях</w:t>
      </w:r>
      <w:r w:rsidRPr="00AF2A39">
        <w:rPr>
          <w:rFonts w:ascii="Times New Roman" w:hAnsi="Times New Roman"/>
          <w:color w:val="0F243E"/>
          <w:sz w:val="28"/>
          <w:szCs w:val="28"/>
        </w:rPr>
        <w:t xml:space="preserve">, оскільки в контексті предикативні одиниці можуть суміщати граматичну форму одних типів речень зі </w:t>
      </w:r>
      <w:r>
        <w:rPr>
          <w:rFonts w:ascii="Times New Roman" w:hAnsi="Times New Roman"/>
          <w:color w:val="0F243E"/>
          <w:sz w:val="28"/>
          <w:szCs w:val="28"/>
        </w:rPr>
        <w:t xml:space="preserve"> </w:t>
      </w:r>
      <w:r w:rsidRPr="00AF2A39">
        <w:rPr>
          <w:rFonts w:ascii="Times New Roman" w:hAnsi="Times New Roman"/>
          <w:color w:val="0F243E"/>
          <w:sz w:val="28"/>
          <w:szCs w:val="28"/>
        </w:rPr>
        <w:t>значеннями</w:t>
      </w:r>
      <w:r>
        <w:rPr>
          <w:rFonts w:ascii="Times New Roman" w:hAnsi="Times New Roman"/>
          <w:color w:val="0F243E"/>
          <w:sz w:val="28"/>
          <w:szCs w:val="28"/>
        </w:rPr>
        <w:t xml:space="preserve"> </w:t>
      </w:r>
      <w:r w:rsidRPr="00AF2A39">
        <w:rPr>
          <w:rFonts w:ascii="Times New Roman" w:hAnsi="Times New Roman"/>
          <w:color w:val="0F243E"/>
          <w:sz w:val="28"/>
          <w:szCs w:val="28"/>
        </w:rPr>
        <w:t xml:space="preserve"> інших</w:t>
      </w:r>
      <w:r w:rsidR="00DD4552">
        <w:rPr>
          <w:rFonts w:ascii="Times New Roman" w:hAnsi="Times New Roman"/>
          <w:color w:val="0F243E"/>
          <w:sz w:val="28"/>
          <w:szCs w:val="28"/>
        </w:rPr>
        <w:t>.</w:t>
      </w:r>
    </w:p>
    <w:p w:rsidR="00CE0B01" w:rsidRPr="00AF2A39" w:rsidRDefault="00CE0B01" w:rsidP="00CE0B01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Своєрідність інфінітивних речень у системі односкладних зумовлена лексико-граматичною природою інфінітива, який зберіг деякі риси свого іменного походження (звідси – розмаїта палітра його синтаксичних функцій). Однак ще 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  <w:lang w:val="ru-RU"/>
        </w:rPr>
        <w:t xml:space="preserve">О.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Потебня підкреслював, що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ru-RU"/>
        </w:rPr>
        <w:t>«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інфінітив тільки був колись іменем, але не залишився ним. Інфінітив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0C34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&lt;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…</w:t>
      </w:r>
      <w:r w:rsidRPr="000C34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&gt;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– ім’я в етимологічному розумінні і вид діє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слова в синтаксичному розумінні» [</w:t>
      </w:r>
      <w:r w:rsidR="00DD4552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8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с.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338].</w:t>
      </w:r>
      <w:r w:rsidRPr="00373F5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Сучасне розуміння речення дозволяє кваліфікувати інфінітивні речення з позицій  семантико-синтаксичного синтаксису. В інфінітивних реченнях ідеться про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потенційну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дію,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яку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необхідно, бажано і т. ін. здійснити в майбутньому конкретній або узагальненій особі, тобто інфінітивні речення не є безагенсними, хоч форма головного члена не вказує на особу. На думку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В.</w:t>
      </w:r>
      <w:r w:rsidRPr="00373F5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Лаврентьєва, «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варто говорити не про безособовість інфінітива, а про його інертність щодо категорії особи, морфо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логі</w:t>
      </w:r>
      <w:r w:rsidR="00DD4552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чної  і навіть синтаксичної» [6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c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. 17]. </w:t>
      </w:r>
    </w:p>
    <w:p w:rsidR="00360B56" w:rsidRDefault="00CE0B01" w:rsidP="00CE0B01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Якщо в східнослов’янському мовознавстві, зокрема в українському, термін </w:t>
      </w:r>
    </w:p>
    <w:p w:rsidR="00CE0B01" w:rsidRPr="00AF2A39" w:rsidRDefault="00CE0B01" w:rsidP="00CE0B01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0C34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>„інфінітивні речення”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є поширеним, то в польській лінгвістичній традиції конструкції з інфінітивом (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bezokoliczn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і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kiem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) вважаються еквівалентами речень (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r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ó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wnowa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ż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nikami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zda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ń). Трапляються, однак, і  терміни на зразок </w:t>
      </w:r>
      <w:r w:rsidRPr="000C34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„</w:t>
      </w:r>
      <w:r w:rsidRPr="000C3441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konstrukcije</w:t>
      </w:r>
      <w:r w:rsidRPr="000C34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0C3441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z</w:t>
      </w:r>
      <w:r w:rsidRPr="000C34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0C3441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bezokolicznikiem</w:t>
      </w:r>
      <w:r w:rsidRPr="000C34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”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[див.: </w:t>
      </w:r>
      <w:r w:rsidR="0027249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10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; </w:t>
      </w:r>
      <w:r w:rsidR="0027249D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1</w:t>
      </w:r>
      <w:r w:rsidR="0027249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];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„</w:t>
      </w:r>
      <w:r w:rsidRPr="000C3441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zdania</w:t>
      </w:r>
      <w:r w:rsidRPr="000C34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0C3441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z</w:t>
      </w:r>
      <w:r w:rsidRPr="000C34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0C3441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bezokolicznikiem niezależnym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”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[див.:</w:t>
      </w:r>
      <w:r w:rsidR="0027249D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 xml:space="preserve"> </w:t>
      </w:r>
      <w:r w:rsidR="0027249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12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 xml:space="preserve">, c.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82-86; </w:t>
      </w:r>
      <w:r w:rsidR="0027249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13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 xml:space="preserve"> c.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268]; 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„</w:t>
      </w:r>
      <w:r w:rsidRPr="00A64847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bezpodmiotowe zdanie</w:t>
      </w:r>
      <w:r w:rsidRPr="00A6484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A64847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z</w:t>
      </w:r>
      <w:r w:rsidRPr="00A6484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A64847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bezokolicznikiem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”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[</w:t>
      </w:r>
      <w:r w:rsidR="0027249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14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,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 xml:space="preserve"> c.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 xml:space="preserve">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31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]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.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Автори зазначе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них праць,  розглядаючи  конструкції з інфінітивом, в основному  зосереджують свою увагу на його семантиці або на синтаксичній функції  й зазвичай не  виділяють як окремий різновид речень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і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з незалежним інфінітивом. Так, Т. Ріттель, аналізуючи різні значення інфінітива, ілюструє свої висновки як реченнями з незалежним інфінітивом на зразок 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Spa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ć</w:t>
      </w:r>
      <w:r w:rsidRPr="00F35BE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!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так і в поєднанні з модальними словами типу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Treba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by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ł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o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pilnowa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ć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чи в складі т.зв. ергативних конструкцій на кшталт 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Nie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chce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mi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si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ę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je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ść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. 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Zachcia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ł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o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mi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si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ę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je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ść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«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в яких агенсом є особовий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займенник у давальному відмінку»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[</w:t>
      </w:r>
      <w:r w:rsidR="0027249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15</w:t>
      </w:r>
      <w:r w:rsidRPr="00A6484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c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 w:rsidRPr="00A6484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160]. Ергативні конструкції з реальним підметом (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z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podmiotem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realnym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) у формі давального відмінка, що вказує  на особу, яка є носієм дії чи стану,  свого часу серед речень з інфінітивом виокремлювала</w:t>
      </w:r>
      <w:r w:rsidRPr="00A6484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Г.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Конечна [</w:t>
      </w:r>
      <w:r w:rsidR="0027249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12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c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 w:rsidRPr="00A6484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85-86]. </w:t>
      </w:r>
    </w:p>
    <w:p w:rsidR="00CE0B01" w:rsidRPr="00AF2A39" w:rsidRDefault="00CE0B01" w:rsidP="00CE0B01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F2A39">
        <w:rPr>
          <w:color w:val="0F243E" w:themeColor="text2" w:themeShade="80"/>
        </w:rPr>
        <w:t xml:space="preserve">               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Давальний відмінок у позиції семантичного суб’єкта в односкладному інфінітивному реченні є його облігаторним компонентом, хоч віднесеність предикативної ознаки до її носія виражається непрямо: суб’єкт реалізу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ється не підметом, а додатком. «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Ця особливість давального суб’єкта викликає суперечливі теоретичні судження: одні вчені розглядають його як еквівалент або аналог граматичного підмета (як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це маємо у польській мові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 – О. К.), вважаючи всі конструкції з давальним суб’єкта двоскладними реченнями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з логічним підметом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інші – навпаки, характеризують позицію давального із значенням носія стану як о</w:t>
      </w:r>
      <w:r w:rsidR="00FA5B72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б’єктну або обставинно-об’єктну»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27249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[7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</w:t>
      </w:r>
      <w:r w:rsidRPr="00A6484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с.</w:t>
      </w:r>
      <w:r w:rsidRPr="00A6484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95]. Безумовно, все залежить від того, з яких позицій аналізувати конструкції з незалежним інфінітивом – з позицій формального чи семантичного синтаксису.</w:t>
      </w:r>
    </w:p>
    <w:p w:rsidR="00CE0B01" w:rsidRPr="00AF2A39" w:rsidRDefault="00CE0B01" w:rsidP="00CE0B01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 україністиці думку про семантичну  двоскладність інфінітивного речення  послідовно відстоював Л.</w:t>
      </w:r>
      <w:r w:rsidRPr="00AA1FB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Булахов</w:t>
      </w:r>
      <w:r w:rsidR="00FA5B72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ський, наполягаючи на тому, що «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єдиний засіб покінчити з усіма натягненими розумуваннями з приводу речень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>інфінітивного типу – це визнати, що в цих реченнях давальний відмінок, який називає носія відповідної дії, афективно зосередженої в інфінітиві, становить собою не що інше, як підмет до вираженого інфі</w:t>
      </w:r>
      <w:r w:rsidR="00FA5B72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нітивом присудка»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[</w:t>
      </w:r>
      <w:r w:rsidR="0027249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</w:t>
      </w:r>
      <w:r w:rsidRPr="00A6484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с.</w:t>
      </w:r>
      <w:r w:rsidRPr="00A6484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FA5B72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27]. Автори монографії «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Синтаксис сучасної укра</w:t>
      </w:r>
      <w:r w:rsidR="00FA5B72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їнської мови. Проблемні питання»</w:t>
      </w:r>
      <w:r w:rsidR="0027249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вважають інфінітивні реченн</w:t>
      </w:r>
      <w:r w:rsidR="00FA5B72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я одноядерно-двокомпонентними, «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у яких  незалежний інфінітив виражає дію, співвідносну з</w:t>
      </w:r>
      <w:r w:rsidR="00FA5B72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наявним чи домислюваним діячем»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[</w:t>
      </w:r>
      <w:r w:rsidR="0027249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9</w:t>
      </w:r>
      <w:r w:rsidRPr="00A6484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c</w:t>
      </w:r>
      <w:r w:rsidRPr="00A6484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.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212 ]. При такому трактуванні підкреслюються дві визначальні  риси інфінітивних речень: 1) з формально-граматичного погляду це одноядерні речення, тобто речення без підмета; 2) з семантичного погляду це двокомпонентні речення, бо в них, крім предиката, завжди мається на увазі суб’єкт. Саме на таке розуміння суті інфінітивних речень  будемо опиратися в нашій роботі.</w:t>
      </w:r>
    </w:p>
    <w:p w:rsidR="00CE0B01" w:rsidRPr="00654EFD" w:rsidRDefault="00CE0B01" w:rsidP="00CE0B0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Вказівка на особу реалізується в інфінітивних реченнях конструктивно-синтаксичним способом.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Зумовлений семантико-граматичною ст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руктурою односкладного  речення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давальний відмінок зі значенням суб’єкта вказує на віднесеність висловлення до конкретної особи, котрій приписується певний стан. Так, віднесеність до першої  особи виражається особовими займенниками першої особи однини і множини: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A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cho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ć 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pl-PL"/>
        </w:rPr>
        <w:t>mi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teraz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ciebie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oczyma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pl-PL"/>
        </w:rPr>
        <w:t>nie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pl-PL"/>
        </w:rPr>
        <w:t>dosta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ć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EE7DF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=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nie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mog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ę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EE7DF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//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не можу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)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</w:t>
      </w:r>
      <w:r w:rsidR="00654EFD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J</w:t>
      </w:r>
      <w:r w:rsidR="00654EF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S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ł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owacki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); </w:t>
      </w:r>
      <w:r w:rsidR="0027249D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Не </w:t>
      </w:r>
      <w:r w:rsidR="0027249D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нам </w:t>
      </w:r>
      <w:r w:rsidR="0027249D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на прю з тобою стати, не </w:t>
      </w:r>
      <w:r w:rsidR="0027249D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нам  </w:t>
      </w:r>
      <w:r w:rsidR="0027249D" w:rsidRPr="00654EFD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діла твої судить!</w:t>
      </w:r>
      <w:r w:rsidR="00654EFD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654EFD" w:rsidRPr="00654EF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(Т. Шевченко).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На другу особу вказують особові займенники другої особи: </w:t>
      </w:r>
      <w:r w:rsidR="00654EFD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Творити світ </w:t>
      </w:r>
      <w:r w:rsidR="00654EFD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вам, </w:t>
      </w:r>
      <w:r w:rsidR="00654EFD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а не вклонятися світу </w:t>
      </w:r>
      <w:r w:rsidR="00654EF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(А. Малишко); </w:t>
      </w:r>
      <w:r w:rsidRPr="005B17CB">
        <w:rPr>
          <w:rFonts w:ascii="Times New Roman" w:hAnsi="Times New Roman" w:cs="Times New Roman"/>
          <w:i/>
          <w:sz w:val="28"/>
          <w:szCs w:val="28"/>
        </w:rPr>
        <w:t>Znam swoja wartosc jako czlowieka i </w:t>
      </w:r>
      <w:r w:rsidRPr="00AC53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B17CB">
        <w:rPr>
          <w:rFonts w:ascii="Times New Roman" w:hAnsi="Times New Roman" w:cs="Times New Roman"/>
          <w:b/>
          <w:i/>
          <w:sz w:val="28"/>
          <w:szCs w:val="28"/>
        </w:rPr>
        <w:t>nie wam</w:t>
      </w:r>
      <w:r w:rsidRPr="005B17CB">
        <w:rPr>
          <w:rFonts w:ascii="Times New Roman" w:hAnsi="Times New Roman" w:cs="Times New Roman"/>
          <w:i/>
          <w:sz w:val="28"/>
          <w:szCs w:val="28"/>
        </w:rPr>
        <w:t xml:space="preserve"> mnie </w:t>
      </w:r>
      <w:r w:rsidRPr="005B17CB">
        <w:rPr>
          <w:rFonts w:ascii="Times New Roman" w:hAnsi="Times New Roman" w:cs="Times New Roman"/>
          <w:b/>
          <w:i/>
          <w:sz w:val="28"/>
          <w:szCs w:val="28"/>
        </w:rPr>
        <w:t>ocenia</w:t>
      </w:r>
      <w:r w:rsidRPr="00AC5325">
        <w:rPr>
          <w:rFonts w:ascii="Times New Roman" w:hAnsi="Times New Roman" w:cs="Times New Roman"/>
          <w:b/>
          <w:i/>
          <w:sz w:val="28"/>
          <w:szCs w:val="28"/>
        </w:rPr>
        <w:t>ć</w:t>
      </w:r>
      <w:r w:rsidRPr="00AC5325">
        <w:rPr>
          <w:b/>
          <w:color w:val="3B3B3B"/>
          <w:shd w:val="clear" w:color="auto" w:fill="FFFFFF"/>
        </w:rPr>
        <w:t xml:space="preserve"> </w:t>
      </w:r>
      <w:r w:rsidRPr="005B17CB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=</w:t>
      </w:r>
      <w:r w:rsidRPr="00AC5325">
        <w:rPr>
          <w:rFonts w:ascii="Times New Roman" w:hAnsi="Times New Roman" w:cs="Times New Roman"/>
          <w:i/>
          <w:color w:val="3B3B3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powiniene</w:t>
      </w:r>
      <w:r w:rsidRPr="00AC532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ś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cie</w:t>
      </w:r>
      <w:r w:rsidRPr="00AC532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ocenia</w:t>
      </w:r>
      <w:r w:rsidRPr="00AC532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ć</w:t>
      </w:r>
      <w:r w:rsidRPr="00AC5325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 xml:space="preserve"> //</w:t>
      </w:r>
      <w:r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 xml:space="preserve"> </w:t>
      </w:r>
      <w:r w:rsidRPr="005B17CB">
        <w:rPr>
          <w:rFonts w:ascii="Times New Roman" w:hAnsi="Times New Roman" w:cs="Times New Roman"/>
          <w:i/>
          <w:color w:val="3B3B3B"/>
          <w:sz w:val="28"/>
          <w:szCs w:val="28"/>
          <w:shd w:val="clear" w:color="auto" w:fill="FFFFFF"/>
        </w:rPr>
        <w:t>ви не повинні оцінювати</w:t>
      </w:r>
      <w:r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 xml:space="preserve">) </w:t>
      </w:r>
      <w:r w:rsidRPr="00AC5325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(</w:t>
      </w:r>
      <w:r w:rsidR="00654EFD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R.</w:t>
      </w:r>
      <w:r w:rsidRPr="005B17CB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 xml:space="preserve"> Biedroń</w:t>
      </w:r>
      <w:r w:rsidRPr="00AC5325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)</w:t>
      </w:r>
      <w:r w:rsidRPr="00AC532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;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Віднесеність до третьої особи виражається особовими займенниками тре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тьої особи або іменниками, наприклад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:</w:t>
      </w:r>
      <w:r w:rsidR="00654EFD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Їхати </w:t>
      </w:r>
      <w:r w:rsidR="00654EFD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їм </w:t>
      </w:r>
      <w:r w:rsidR="00654EFD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було на південь, до моря </w:t>
      </w:r>
      <w:r w:rsidR="00654EF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(О. Гончар)</w:t>
      </w:r>
      <w:r w:rsidRPr="00654EF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;</w:t>
      </w:r>
      <w:r w:rsidR="00654EFD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Чи </w:t>
      </w:r>
      <w:r w:rsidR="00654EFD" w:rsidRPr="00654EFD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совам</w:t>
      </w:r>
      <w:r w:rsidR="00654EFD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зборкати орла?</w:t>
      </w:r>
      <w:r w:rsidRPr="00654EF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654EF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(М. Рильський); </w:t>
      </w:r>
      <w:r w:rsidRPr="00650278">
        <w:rPr>
          <w:rFonts w:ascii="Times New Roman" w:hAnsi="Times New Roman" w:cs="Times New Roman"/>
          <w:i/>
          <w:sz w:val="28"/>
          <w:szCs w:val="28"/>
        </w:rPr>
        <w:t>Pewnie denerwowało ich, że to </w:t>
      </w:r>
      <w:r w:rsidRPr="00EE7DFC">
        <w:rPr>
          <w:rFonts w:ascii="Times New Roman" w:hAnsi="Times New Roman" w:cs="Times New Roman"/>
          <w:b/>
          <w:i/>
          <w:sz w:val="28"/>
          <w:szCs w:val="28"/>
        </w:rPr>
        <w:t>nie im  pracować</w:t>
      </w:r>
      <w:r w:rsidRPr="00650278">
        <w:rPr>
          <w:rFonts w:ascii="Times New Roman" w:hAnsi="Times New Roman" w:cs="Times New Roman"/>
          <w:i/>
          <w:sz w:val="28"/>
          <w:szCs w:val="28"/>
        </w:rPr>
        <w:t xml:space="preserve"> po godzinach </w:t>
      </w:r>
      <w:r w:rsidRPr="00EE7DF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Pr="00225EF9">
        <w:rPr>
          <w:rFonts w:ascii="Times New Roman" w:hAnsi="Times New Roman" w:cs="Times New Roman"/>
          <w:i/>
          <w:sz w:val="28"/>
          <w:szCs w:val="28"/>
          <w:lang w:val="pl-PL"/>
        </w:rPr>
        <w:t>powinni</w:t>
      </w:r>
      <w:r w:rsidRPr="00654E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5EF9">
        <w:rPr>
          <w:rFonts w:ascii="Times New Roman" w:hAnsi="Times New Roman" w:cs="Times New Roman"/>
          <w:i/>
          <w:sz w:val="28"/>
          <w:szCs w:val="28"/>
          <w:lang w:val="pl-PL"/>
        </w:rPr>
        <w:t>pracowa</w:t>
      </w:r>
      <w:r w:rsidRPr="00654EFD">
        <w:rPr>
          <w:rFonts w:ascii="Times New Roman" w:hAnsi="Times New Roman" w:cs="Times New Roman"/>
          <w:i/>
          <w:sz w:val="28"/>
          <w:szCs w:val="28"/>
        </w:rPr>
        <w:t xml:space="preserve">ć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>
        <w:rPr>
          <w:rFonts w:ascii="Times New Roman" w:hAnsi="Times New Roman" w:cs="Times New Roman"/>
          <w:i/>
          <w:sz w:val="28"/>
          <w:szCs w:val="28"/>
        </w:rPr>
        <w:t xml:space="preserve">вони мусять </w:t>
      </w:r>
      <w:r w:rsidRPr="00225EF9">
        <w:rPr>
          <w:rFonts w:ascii="Times New Roman" w:hAnsi="Times New Roman" w:cs="Times New Roman"/>
          <w:i/>
          <w:sz w:val="28"/>
          <w:szCs w:val="28"/>
        </w:rPr>
        <w:t>працювати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60B56">
        <w:rPr>
          <w:rFonts w:ascii="Times New Roman" w:hAnsi="Times New Roman" w:cs="Times New Roman"/>
          <w:sz w:val="28"/>
          <w:szCs w:val="28"/>
        </w:rPr>
        <w:t xml:space="preserve">W. </w:t>
      </w:r>
      <w:r w:rsidRPr="00EE7DFC">
        <w:rPr>
          <w:rFonts w:ascii="Times New Roman" w:hAnsi="Times New Roman" w:cs="Times New Roman"/>
          <w:sz w:val="28"/>
          <w:szCs w:val="28"/>
        </w:rPr>
        <w:t>Dymny).</w:t>
      </w:r>
    </w:p>
    <w:p w:rsidR="00CE0B01" w:rsidRPr="00AF2A39" w:rsidRDefault="00CE0B01" w:rsidP="00CE0B01">
      <w:pPr>
        <w:spacing w:line="360" w:lineRule="auto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Речення такого типу Г. </w:t>
      </w:r>
      <w:r w:rsidR="00FA5B72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Арполенко трактує як «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інфінітивні речення зі значенням об’єктивної необхідності, неминучості, невідворотності дії („інфінітив + давальний агенсив</w:t>
      </w:r>
      <w:r w:rsidR="00FA5B72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ний”)»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[</w:t>
      </w:r>
      <w:r w:rsidR="00654EF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c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20].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Давальний діючої особи в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 xml:space="preserve">інфінітивних реченнях за  значенням відіграє ту саму смислову роль, що й підмет – називний відмінок. Порівняйте: </w:t>
      </w:r>
      <w:r w:rsidR="00654EF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654EFD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не забути мені – я не забуду</w:t>
      </w:r>
      <w:r w:rsidR="00654EFD" w:rsidRPr="00A264C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;</w:t>
      </w:r>
      <w:r w:rsidR="00A264C6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йому відповідати – він </w:t>
      </w:r>
      <w:r w:rsidR="00A264C6" w:rsidRPr="00A264C6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відповідатиме</w:t>
      </w:r>
      <w:r w:rsidR="00A264C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; </w:t>
      </w:r>
      <w:r w:rsidRPr="00A264C6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nie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dosta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ć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mi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–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ja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nie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dostam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;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pl-PL"/>
        </w:rPr>
        <w:t>wam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pl-PL"/>
        </w:rPr>
        <w:t>by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pl-PL"/>
        </w:rPr>
        <w:t>krzykn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ąć –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pl-PL"/>
        </w:rPr>
        <w:t>wy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pl-PL"/>
        </w:rPr>
        <w:t>by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pl-PL"/>
        </w:rPr>
        <w:t>krzykn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ę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pl-PL"/>
        </w:rPr>
        <w:t>li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. </w:t>
      </w:r>
    </w:p>
    <w:p w:rsidR="00CE0B01" w:rsidRPr="00AF2A39" w:rsidRDefault="00CE0B01" w:rsidP="00CE0B01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Давального агенсивного в структурі інфінітивного речення може й не бути, але він легко відтворюється з контексту</w:t>
      </w:r>
      <w:r w:rsidRPr="00A264C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r w:rsidR="00A264C6" w:rsidRPr="00A264C6">
        <w:rPr>
          <w:rFonts w:ascii="Times New Roman" w:hAnsi="Times New Roman" w:cs="Times New Roman"/>
          <w:sz w:val="28"/>
          <w:szCs w:val="28"/>
        </w:rPr>
        <w:t xml:space="preserve">наприклад: </w:t>
      </w:r>
      <w:r w:rsidR="00A264C6" w:rsidRPr="00A264C6">
        <w:rPr>
          <w:rFonts w:ascii="Times New Roman" w:hAnsi="Times New Roman" w:cs="Times New Roman"/>
          <w:i/>
          <w:sz w:val="28"/>
          <w:szCs w:val="28"/>
        </w:rPr>
        <w:t xml:space="preserve"> Годі лякатись! За діло святеє сміло ми будемо йти </w:t>
      </w:r>
      <w:r w:rsidR="00A264C6" w:rsidRPr="00A264C6">
        <w:rPr>
          <w:rFonts w:ascii="Times New Roman" w:hAnsi="Times New Roman" w:cs="Times New Roman"/>
          <w:sz w:val="28"/>
          <w:szCs w:val="28"/>
        </w:rPr>
        <w:t>(Б.</w:t>
      </w:r>
      <w:r w:rsidR="00A264C6">
        <w:rPr>
          <w:rFonts w:ascii="Times New Roman" w:hAnsi="Times New Roman" w:cs="Times New Roman"/>
          <w:sz w:val="28"/>
          <w:szCs w:val="28"/>
        </w:rPr>
        <w:t xml:space="preserve"> </w:t>
      </w:r>
      <w:r w:rsidR="00A264C6" w:rsidRPr="00A264C6">
        <w:rPr>
          <w:rFonts w:ascii="Times New Roman" w:hAnsi="Times New Roman" w:cs="Times New Roman"/>
          <w:sz w:val="28"/>
          <w:szCs w:val="28"/>
        </w:rPr>
        <w:t>Грінченко) –  суб’єкт дії другого речення (</w:t>
      </w:r>
      <w:r w:rsidR="00A264C6" w:rsidRPr="00A264C6">
        <w:rPr>
          <w:rFonts w:ascii="Times New Roman" w:hAnsi="Times New Roman" w:cs="Times New Roman"/>
          <w:i/>
          <w:sz w:val="28"/>
          <w:szCs w:val="28"/>
        </w:rPr>
        <w:t>ми</w:t>
      </w:r>
      <w:r w:rsidR="00A264C6">
        <w:rPr>
          <w:rFonts w:ascii="Times New Roman" w:hAnsi="Times New Roman" w:cs="Times New Roman"/>
          <w:sz w:val="28"/>
          <w:szCs w:val="28"/>
        </w:rPr>
        <w:t>) підказує</w:t>
      </w:r>
      <w:r w:rsidR="00A264C6" w:rsidRPr="00A264C6">
        <w:rPr>
          <w:rFonts w:ascii="Times New Roman" w:hAnsi="Times New Roman" w:cs="Times New Roman"/>
          <w:sz w:val="28"/>
          <w:szCs w:val="28"/>
        </w:rPr>
        <w:t xml:space="preserve">, що давальним агентивним у першому міг бути займенник </w:t>
      </w:r>
      <w:r w:rsidR="00A264C6" w:rsidRPr="00A264C6">
        <w:rPr>
          <w:rFonts w:ascii="Times New Roman" w:hAnsi="Times New Roman" w:cs="Times New Roman"/>
          <w:i/>
          <w:sz w:val="28"/>
          <w:szCs w:val="28"/>
        </w:rPr>
        <w:t>нам</w:t>
      </w:r>
      <w:r w:rsidR="00A264C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 Відсутність давального агенсивного</w:t>
      </w:r>
      <w:r w:rsidR="00933F6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характерна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для неповних речень, зокрема для підрядних частин складнопідрядних речень із підрядними мети, рідше – з підрядними інших видів, наприклад:  1) 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Przykryłem się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cieniutką pierzynczyną aż po samą głowę, 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żeby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jak najprzędzej 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zasnąć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(</w:t>
      </w:r>
      <w:r w:rsidR="00DE01C7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J</w:t>
      </w:r>
      <w:r w:rsidR="00DE01C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Morton);  </w:t>
      </w:r>
      <w:r w:rsidR="00DE01C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)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Zupe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ł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nie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tak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jakby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pl-PL"/>
        </w:rPr>
        <w:t>s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ł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pl-PL"/>
        </w:rPr>
        <w:t>o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ń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pl-PL"/>
        </w:rPr>
        <w:t>ce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pl-PL"/>
        </w:rPr>
        <w:t>przebi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ł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pl-PL"/>
        </w:rPr>
        <w:t>o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blaszany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dach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i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strop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,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 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ż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pl-PL"/>
        </w:rPr>
        <w:t>eby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 z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powietrza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pl-PL"/>
        </w:rPr>
        <w:t>ulepi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ć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fantasmagori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ę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DE01C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(А.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Stasiuk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); </w:t>
      </w:r>
      <w:r w:rsidR="00DE01C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3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)</w:t>
      </w:r>
      <w:r w:rsidR="00DE01C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Modliła się, żeby nie czuć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 nienawiści. Nic więcej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DE01C7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(Z.</w:t>
      </w:r>
      <w:r w:rsidRPr="00AF2A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Nałkowska).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На потенційного агенса у підрядних інфінітивних частинах указують  форми  дієслів-присудків  головної  частини</w:t>
      </w:r>
      <w:r w:rsidR="00DE01C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зокрема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:  у першому реченні – це 1-а особа однини чоловічого роду;  у другому –  3-я особа однини середн</w:t>
      </w:r>
      <w:r w:rsidR="00DE01C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ього роду; у третьому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– 3-я особа однини жіночого роду. </w:t>
      </w:r>
    </w:p>
    <w:p w:rsidR="00CE0B01" w:rsidRPr="00AF2A39" w:rsidRDefault="00CE0B01" w:rsidP="00CE0B01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Давальний суб’єкта частіше граматично імпліцитний і в реченнях, що виражають модальне значення бажання дії з конотаціями сумніву, роздуму і т.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ін., тому що інфінітивні речення зі значенням бажання передусім асоціюються з першою особою, якщо п</w:t>
      </w:r>
      <w:r w:rsidR="00FA5B72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рямих вказівок на особу немає. «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Це випливає, очевидно, з певно</w:t>
      </w:r>
      <w:r w:rsidR="00FA5B72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ї суб’єктивності самого бажання»</w:t>
      </w:r>
      <w:r w:rsidR="00DE01C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[5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с.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62], </w:t>
      </w:r>
      <w:r w:rsidR="00DE01C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пор.,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наприклад:</w:t>
      </w:r>
      <w:r w:rsidR="00DE01C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DE01C7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Плакати б</w:t>
      </w:r>
      <w:r w:rsidR="00DE01C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та встидно </w:t>
      </w:r>
      <w:r w:rsidR="00DE01C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(П. Мирний)</w:t>
      </w:r>
      <w:r w:rsidR="008F68A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;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" 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Wziąć by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 pałę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і</w:t>
      </w:r>
      <w:r w:rsidRPr="00AF2A3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walić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nią was po łbie"  –  mówił Kani Breżniew, osoba też niewątpliwie kompetentna</w:t>
      </w:r>
      <w:r w:rsidR="00DE01C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(L.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Bójko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)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;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Urodzić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dziecko, 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czuć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 je przy sobie, słabe, ciepłe i bezradne... </w:t>
      </w:r>
      <w:r w:rsidR="00DE01C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(Z.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Kossak).</w:t>
      </w:r>
    </w:p>
    <w:p w:rsidR="00CE0B01" w:rsidRPr="00AF2A39" w:rsidRDefault="00CE0B01" w:rsidP="00CE0B01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Тяжіння до вказівки на першу особу при відсутності давального агенсивного виявляють і питальні інфінітивні речення, наприклад:</w:t>
      </w:r>
      <w:r w:rsidRPr="00AF2A39">
        <w:rPr>
          <w:rStyle w:val="apple-converted-space"/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r w:rsidR="008F68A5">
        <w:rPr>
          <w:rStyle w:val="apple-converted-space"/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Може, краще зараз </w:t>
      </w:r>
      <w:r w:rsidR="008F68A5">
        <w:rPr>
          <w:rStyle w:val="apple-converted-space"/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FFFFF"/>
        </w:rPr>
        <w:t>промовчати</w:t>
      </w:r>
      <w:r w:rsidR="008F68A5">
        <w:rPr>
          <w:rStyle w:val="apple-converted-space"/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? </w:t>
      </w:r>
      <w:r w:rsidR="008F68A5">
        <w:rPr>
          <w:rStyle w:val="apple-converted-space"/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(О. Гончар); </w:t>
      </w:r>
      <w:r w:rsidRPr="00AF2A39">
        <w:rPr>
          <w:rStyle w:val="apple-converted-space"/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 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Boże, 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co robić, co robić</w:t>
      </w:r>
      <w:r w:rsidR="008F68A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?</w:t>
      </w:r>
      <w:r w:rsidR="008F68A5" w:rsidRPr="008F68A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="008F68A5"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Powiedzieć, że wpadłem tylko po sąsiedzku z wizytą do dawnego szkolnego kolegi?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8F68A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>(М.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Sokołowski)</w:t>
      </w:r>
      <w:r w:rsidR="008F68A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.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Очевидно, саме модальне значення невпевненості в аспекті категорії особовості акцентує на тому, що дія-стан  співвідноситься з особою мовця, який  розмірковує про щось.</w:t>
      </w:r>
    </w:p>
    <w:p w:rsidR="00CE0B01" w:rsidRPr="00AF2A39" w:rsidRDefault="00CE0B01" w:rsidP="00CE0B01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Без давального агенсивного  вживаються інфінітивні речення, які виражають категоричний наказ, допоміжну функцію при цьому виконує спонукальна інтонація. Інфінітив у таких реченнях функціонально збігається зі значенням форм наказового способу і тому найчастіше асоціюється з адресатом, наприклад:</w:t>
      </w:r>
      <w:r w:rsidR="008F68A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Годі </w:t>
      </w:r>
      <w:r w:rsidR="008F68A5" w:rsidRPr="009309BF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спати</w:t>
      </w:r>
      <w:r w:rsidR="008F68A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! Всі із хати</w:t>
      </w:r>
      <w:r w:rsidR="009309B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– праця всюди – жде лиш час  </w:t>
      </w:r>
      <w:r w:rsidR="009309B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(В. Чумак);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– No, dobry piesek, dobry... 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A teraz leżeć ! Leżeć!</w:t>
      </w:r>
      <w:r w:rsidR="009309B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(J.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Machulski); 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 xml:space="preserve"> 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Nieprawda, 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 xml:space="preserve"> 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milczeć!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Do dzieła, Arturku, do dzieła! </w:t>
      </w:r>
      <w:r w:rsidR="009309B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(S.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Mrożek). Суб’єкт при цьому підказується  ситуацією, контекстом або (як в останньому прикладі) наявністю звертання –  іменника у кличному відмінку, що називає потенційного виконавця дії.</w:t>
      </w:r>
    </w:p>
    <w:p w:rsidR="00CE0B01" w:rsidRPr="00AF2A39" w:rsidRDefault="00CE0B01" w:rsidP="00CE0B01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У конструкціях спонукальної модальності, що виражають наказ, побажання, прохання, суб’єкт частіше узагальнений,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чому сприяє як відсутність давального агенсивного, так і певна декларативність змісту речення, наприклад: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7F7F7"/>
        </w:rPr>
        <w:t xml:space="preserve">  </w:t>
      </w:r>
      <w:r w:rsidR="009309BF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7F7F7"/>
        </w:rPr>
        <w:t xml:space="preserve">Творити </w:t>
      </w:r>
      <w:r w:rsidR="009309B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7F7F7"/>
        </w:rPr>
        <w:t xml:space="preserve">світ, а </w:t>
      </w:r>
      <w:r w:rsidR="009309BF" w:rsidRPr="009309BF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7F7F7"/>
        </w:rPr>
        <w:t>не вклонятись</w:t>
      </w:r>
      <w:r w:rsidR="009309B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7F7F7"/>
        </w:rPr>
        <w:t xml:space="preserve"> світу </w:t>
      </w:r>
      <w:r w:rsidR="009309BF" w:rsidRPr="009309B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7F7F7"/>
        </w:rPr>
        <w:t>(А. Малишко);</w:t>
      </w:r>
      <w:r w:rsidR="009309B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r w:rsidR="009309BF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FFFFF"/>
        </w:rPr>
        <w:t xml:space="preserve">Не </w:t>
      </w:r>
      <w:r w:rsidR="009309BF" w:rsidRPr="009309BF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FFFFF"/>
        </w:rPr>
        <w:t>відступити</w:t>
      </w:r>
      <w:r w:rsidR="009309B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. І </w:t>
      </w:r>
      <w:r w:rsidR="009309BF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FFFFF"/>
        </w:rPr>
        <w:t xml:space="preserve">не покласти </w:t>
      </w:r>
      <w:r w:rsidR="009309B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лжу на струни</w:t>
      </w:r>
      <w:r w:rsidR="009309B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(Л. Костенко).</w:t>
      </w:r>
      <w:r w:rsidR="009309B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r w:rsidRPr="009309B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pl-PL"/>
        </w:rPr>
        <w:t>Pracowa</w:t>
      </w:r>
      <w:r w:rsidRPr="009309B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ć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FFFFF"/>
        </w:rPr>
        <w:t xml:space="preserve">, 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FFFFF"/>
          <w:lang w:val="pl-PL"/>
        </w:rPr>
        <w:t>pracowa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FFFFF"/>
        </w:rPr>
        <w:t xml:space="preserve">ć, 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FFFFF"/>
          <w:lang w:val="pl-PL"/>
        </w:rPr>
        <w:t>nie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FFFFF"/>
          <w:lang w:val="pl-PL"/>
        </w:rPr>
        <w:t>my</w:t>
      </w:r>
      <w:r w:rsidRPr="003C3EFE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FFFFF"/>
        </w:rPr>
        <w:t>ś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FFFFF"/>
          <w:lang w:val="pl-PL"/>
        </w:rPr>
        <w:t>le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FFFFF"/>
        </w:rPr>
        <w:t>ć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pl-PL"/>
        </w:rPr>
        <w:t>o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pl-PL"/>
        </w:rPr>
        <w:t>g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ł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pl-PL"/>
        </w:rPr>
        <w:t>upstwach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!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 (</w:t>
      </w:r>
      <w:r w:rsidR="009309B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val="pl-PL"/>
        </w:rPr>
        <w:t>A</w:t>
      </w:r>
      <w:r w:rsidR="009309B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.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val="pl-PL"/>
        </w:rPr>
        <w:t>Zbych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); 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Nie słychać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 nas, 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nie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FFFFF"/>
        </w:rPr>
        <w:t xml:space="preserve"> widać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, nie znamy własnych dusz</w:t>
      </w:r>
      <w:r w:rsidRPr="009309B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r w:rsidR="009309B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(J.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Brzechwa).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Не випадково такий різновид інфінітивних речень доволі поширений у прислів’ях і приказках:</w:t>
      </w:r>
      <w:r w:rsidR="009309B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Доки не </w:t>
      </w:r>
      <w:r w:rsidR="009309BF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впріти</w:t>
      </w:r>
      <w:r w:rsidR="009309B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доти </w:t>
      </w:r>
      <w:r w:rsidR="009309BF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не вміти</w:t>
      </w:r>
      <w:r w:rsidR="009309B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; </w:t>
      </w:r>
      <w:r w:rsidR="009309B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Без діла </w:t>
      </w:r>
      <w:r w:rsidR="009309BF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сидіти</w:t>
      </w:r>
      <w:r w:rsidR="009309B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можна </w:t>
      </w:r>
      <w:r w:rsidR="009309BF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одубіти</w:t>
      </w:r>
      <w:r w:rsidR="009309B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;</w:t>
      </w:r>
      <w:r w:rsidR="009309B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Ні</w:t>
      </w:r>
      <w:r w:rsidR="009309BF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врізати</w:t>
      </w:r>
      <w:r w:rsidR="009309B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ні </w:t>
      </w:r>
      <w:r w:rsidR="009309BF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доточити</w:t>
      </w:r>
      <w:r w:rsidR="009309B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;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Bodaj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pl-PL"/>
        </w:rPr>
        <w:t>da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ć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a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pl-PL"/>
        </w:rPr>
        <w:t>nie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pl-PL"/>
        </w:rPr>
        <w:t>bra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ć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;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Jednym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strzelaniem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dwa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ptaki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pl-PL"/>
        </w:rPr>
        <w:t>ubi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ć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;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Kiedy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pl-PL"/>
        </w:rPr>
        <w:t>spa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ść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to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z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dobrego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konia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. 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Центр ваги в інфінітивних реченнях переноситься на саму  дію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і вказує на узагальненого її виконавця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внаслідок чого зростає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експресивність сказаного. </w:t>
      </w:r>
    </w:p>
    <w:p w:rsidR="00CE0B01" w:rsidRDefault="00CE0B01" w:rsidP="00CE0B01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Інший тип інфінітивних речень із узагальненим значенням становлять ті, що мають не модальне, а власне  констатаційне, описово-розповідне значення, як-от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і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з дієсловами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wida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ć,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s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ł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ycha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ć,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czu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ć,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pl-PL"/>
        </w:rPr>
        <w:t>zna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ć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тощо, які, на відміну від української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мови,  у польській мові є частовживан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ими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="003657F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[4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с.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71], наприклад: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 </w:t>
      </w:r>
      <w:r w:rsidRPr="00AF2A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Tylko 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słyszeć, widzieć, czuć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. I jak w piosence grupy „Pod Budą”: 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jeść, pić, kochać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.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lastRenderedPageBreak/>
        <w:t xml:space="preserve">Jedno na raz. I 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mieć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opróżnioną z myśli głowę. 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Nie planować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co potem i jeszcze potem </w:t>
      </w:r>
      <w:r w:rsidR="003657F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(S.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Raduńska);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Prawie 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nie znać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 nilfgaardzkiego akcentu w nilfgaardzkim nazwisku </w:t>
      </w:r>
      <w:r w:rsidR="003657F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(A.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Sapkowski). Такі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інфінітиви сприймаються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як  наз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ви дій-процесів, не зв’язані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з тим або іншим конкретним часом, способом чи особою,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і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синтаксично максимально наближаються до віддієслівних іменників і через це легко поєднуються з дієслівною зв’язкою, наприклад: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Przez kilkucentymetrową szparę 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widać było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 wbitą małą, czerwoną chorągiewkę </w:t>
      </w:r>
      <w:r w:rsidR="003657F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(Z.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Smektała);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Nie </w:t>
      </w:r>
      <w:r w:rsidRPr="00AF2A3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znać było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 w nim skruchy, raczej gniewny opór </w:t>
      </w:r>
      <w:r w:rsidR="003657F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(Z.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Kossak).</w:t>
      </w:r>
    </w:p>
    <w:p w:rsidR="009F3FAD" w:rsidRDefault="00CE0B01" w:rsidP="00CE0B01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Таким чином,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розгляд семантичних особливостей інфінітивних речень</w:t>
      </w:r>
      <w:r w:rsidR="00933F6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в обох мовах засвідчує, що є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двокомпонентними (не двоскладними у формально-граматичному аспекті), тобто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інфінітивні речення не є безагенсним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и: виконавець дії, активний діяч 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у них завжди мається на увазі та є  конкретним у реченнях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і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з давальним аген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c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ивним. Імпліцитність потенційного суб’єкта  не свідчить про його відсутність: агенс або відновлюється  з контексту, тобто так чи інакше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є означеним</w:t>
      </w:r>
      <w:r w:rsidRPr="00AF2A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або мислиться як узагальнений, якщо немає морфологізованих вказівок на нього. </w:t>
      </w:r>
    </w:p>
    <w:p w:rsidR="003C2C25" w:rsidRPr="003657FE" w:rsidRDefault="003C2C25" w:rsidP="00CE0B01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ab/>
        <w:t xml:space="preserve">                                </w:t>
      </w:r>
      <w:r w:rsidR="00360B5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</w:t>
      </w:r>
      <w:r w:rsidR="003657F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Література</w:t>
      </w:r>
    </w:p>
    <w:p w:rsidR="003C2C25" w:rsidRPr="009F3FAD" w:rsidRDefault="003C2C25" w:rsidP="003C2C2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</w:pP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>Арполенко Г. П.</w:t>
      </w:r>
      <w:r w:rsidR="003657FE"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>, В. П. Забєліна</w:t>
      </w:r>
      <w:r w:rsidR="003657FE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>.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Структурно-семантична будова речення в сучасній укр</w:t>
      </w:r>
      <w:r w:rsidR="005A123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>аїнській мові . Київ</w:t>
      </w:r>
      <w:r w:rsidR="003657FE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: Наукова думка, 1982. 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131 с.</w:t>
      </w:r>
    </w:p>
    <w:p w:rsidR="003C2C25" w:rsidRPr="009F3FAD" w:rsidRDefault="003C2C25" w:rsidP="003C2C2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</w:pP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>Булаховський Л. А. Питання синтаксису простого речення в україн</w:t>
      </w:r>
      <w:r w:rsidR="005A123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ській мові 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// Дослідження з </w:t>
      </w:r>
      <w:r w:rsidR="005A123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>синтаксису української мови . Київ</w:t>
      </w:r>
      <w:r w:rsidR="00933F6B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, 1958. 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С. 5 – 28.</w:t>
      </w:r>
    </w:p>
    <w:p w:rsidR="003C2C25" w:rsidRPr="009F3FAD" w:rsidRDefault="00A952D7" w:rsidP="003C2C2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>Кононенко В. І. Зіставно-типологічне вивчення сучасної української мови // Зіставно-типологічні студії: українська мова на тлі споріднених мов: [монографія] / за ред. акад.</w:t>
      </w:r>
      <w:r w:rsidR="00933F6B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НАПН України В. І. Кононенка. Київ – Івано-Франківськ –  Варшава, 2015. 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С. 8-18.</w:t>
      </w:r>
    </w:p>
    <w:p w:rsidR="00A952D7" w:rsidRPr="009F3FAD" w:rsidRDefault="00A952D7" w:rsidP="003C2C2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Кононенко І. </w:t>
      </w:r>
      <w:r w:rsidR="00360B56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В. 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>Типологія односкладних речень в українській і пол</w:t>
      </w:r>
      <w:r w:rsidR="005A123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ьській мовах  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// 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  <w:lang w:val="pl-PL"/>
        </w:rPr>
        <w:t>Studia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  <w:lang w:val="pl-PL"/>
        </w:rPr>
        <w:t>Ucrainica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  <w:lang w:val="pl-PL"/>
        </w:rPr>
        <w:t>Varsoviensia</w:t>
      </w:r>
      <w:r w:rsidR="005A123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.  2014. №2. 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>С.63 – 73.</w:t>
      </w:r>
    </w:p>
    <w:p w:rsidR="00A952D7" w:rsidRPr="009F3FAD" w:rsidRDefault="00A952D7" w:rsidP="00A952D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</w:pP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>Курс сучасної української літературної мови  / за ред. Л. А.</w:t>
      </w:r>
      <w:r w:rsid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</w:t>
      </w:r>
      <w:r w:rsidR="00933F6B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Булаховського. </w:t>
      </w:r>
      <w:r w:rsidR="005A123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Київ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>:</w:t>
      </w:r>
      <w:r w:rsidR="00933F6B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Рад.</w:t>
      </w:r>
      <w:r w:rsidR="00933F6B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школа, 1951. </w:t>
      </w:r>
      <w:r w:rsidR="005A123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Т.2:</w:t>
      </w:r>
      <w:r w:rsidR="00933F6B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</w:t>
      </w:r>
      <w:r w:rsidR="005A123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Синтаксис . 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408 с</w:t>
      </w:r>
      <w:r w:rsidRPr="009F3FAD">
        <w:rPr>
          <w:rFonts w:ascii="Times New Roman" w:hAnsi="Times New Roman"/>
          <w:color w:val="0F243E" w:themeColor="text2" w:themeShade="80"/>
          <w:spacing w:val="-4"/>
        </w:rPr>
        <w:t>.</w:t>
      </w:r>
    </w:p>
    <w:p w:rsidR="00360B56" w:rsidRDefault="00A952D7" w:rsidP="00A952D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</w:pP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Лаврентьев  В. И. Категория синтаксического лица в современном русском </w:t>
      </w:r>
    </w:p>
    <w:p w:rsidR="00A952D7" w:rsidRPr="009F3FAD" w:rsidRDefault="00A952D7" w:rsidP="00360B56">
      <w:pPr>
        <w:pStyle w:val="a3"/>
        <w:spacing w:after="0" w:line="360" w:lineRule="auto"/>
        <w:ind w:left="360"/>
        <w:jc w:val="both"/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</w:pP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lastRenderedPageBreak/>
        <w:t>языке : автореф. дисс. на соиск. уч. с</w:t>
      </w:r>
      <w:r w:rsidR="00933F6B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>тепени докт. филол. наук</w:t>
      </w:r>
      <w:r w:rsidR="005A123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>.  Москва</w:t>
      </w:r>
      <w:r w:rsidR="00223E7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, 2013. 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43 с.</w:t>
      </w:r>
    </w:p>
    <w:p w:rsidR="00A952D7" w:rsidRPr="009F3FAD" w:rsidRDefault="00A952D7" w:rsidP="00A952D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</w:pP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>Плющ М.</w:t>
      </w:r>
      <w:r w:rsidR="00223E7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>Я. Граматика української мови: у 2 ч. Ч.1. Морфеміка. Словотв</w:t>
      </w:r>
      <w:r w:rsidR="005A123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>ір. Морфологія . Київ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>:</w:t>
      </w:r>
      <w:r w:rsidR="00223E7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 ВД „Слово”, 2010. 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327 с.</w:t>
      </w:r>
    </w:p>
    <w:p w:rsidR="00A952D7" w:rsidRPr="009F3FAD" w:rsidRDefault="00A952D7" w:rsidP="003C2C2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>Потебня А. А. Из записок</w:t>
      </w:r>
      <w:r w:rsidR="00223E7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по русской грамматике: В 4 т.  Москва: Учпедгиз, 1958. 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Т. 1 – 2.  536 с.</w:t>
      </w:r>
    </w:p>
    <w:p w:rsidR="00A952D7" w:rsidRPr="009F3FAD" w:rsidRDefault="00A952D7" w:rsidP="00A952D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</w:pP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>Слинько І. І.</w:t>
      </w:r>
      <w:r w:rsidR="005A123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>, Гуйванюк Н. В., Кобилянська М. Ф.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Синтаксис сучасної української мов</w:t>
      </w:r>
      <w:r w:rsidR="005A123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>и:  Проблемні питання . Київ</w:t>
      </w:r>
      <w:r w:rsidR="00223E7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>: Вища школа, 1994. –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>670 с.</w:t>
      </w:r>
    </w:p>
    <w:p w:rsidR="00727B36" w:rsidRPr="009F3FAD" w:rsidRDefault="00727B36" w:rsidP="00A952D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</w:pP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  <w:lang w:val="pl-PL"/>
        </w:rPr>
        <w:t>Bartnicka</w:t>
      </w:r>
      <w:r w:rsidRPr="005A123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  <w:lang w:val="pl-PL"/>
        </w:rPr>
        <w:t>B</w:t>
      </w:r>
      <w:r w:rsidRPr="005A123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. 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  <w:lang w:val="pl-PL"/>
        </w:rPr>
        <w:t>Funkcje</w:t>
      </w:r>
      <w:r w:rsidRPr="005A123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  <w:lang w:val="pl-PL"/>
        </w:rPr>
        <w:t>semantyczno</w:t>
      </w:r>
      <w:r w:rsidRPr="005A123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>-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  <w:lang w:val="pl-PL"/>
        </w:rPr>
        <w:t>sk</w:t>
      </w:r>
      <w:r w:rsidRPr="005A123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>ł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  <w:lang w:val="pl-PL"/>
        </w:rPr>
        <w:t>adniowe</w:t>
      </w:r>
      <w:r w:rsidRPr="005A123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  <w:lang w:val="pl-PL"/>
        </w:rPr>
        <w:t>bezokolicznika</w:t>
      </w:r>
      <w:r w:rsidRPr="005A123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  <w:lang w:val="pl-PL"/>
        </w:rPr>
        <w:t>we</w:t>
      </w:r>
      <w:r w:rsidRPr="005A123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  <w:lang w:val="pl-PL"/>
        </w:rPr>
        <w:t>wsp</w:t>
      </w:r>
      <w:r w:rsidRPr="005A123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>ół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  <w:lang w:val="pl-PL"/>
        </w:rPr>
        <w:t>czesnej</w:t>
      </w:r>
      <w:r w:rsidRPr="005A123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  <w:lang w:val="pl-PL"/>
        </w:rPr>
        <w:t>polszczy</w:t>
      </w:r>
      <w:r w:rsidRPr="005A123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>ź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  <w:lang w:val="pl-PL"/>
        </w:rPr>
        <w:t>nie</w:t>
      </w:r>
      <w:r w:rsidR="005A123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 . 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  <w:lang w:val="pl-PL"/>
        </w:rPr>
        <w:t>Wroz</w:t>
      </w:r>
      <w:r w:rsidRPr="005A123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>ł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  <w:lang w:val="pl-PL"/>
        </w:rPr>
        <w:t>aw</w:t>
      </w:r>
      <w:r w:rsidRPr="005A123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>, 1982</w:t>
      </w:r>
      <w:r w:rsidR="00223E7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. </w:t>
      </w:r>
      <w:r w:rsidRPr="005A123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 xml:space="preserve">253 </w:t>
      </w:r>
      <w:r w:rsidRPr="009F3FAD">
        <w:rPr>
          <w:rFonts w:ascii="Times New Roman" w:hAnsi="Times New Roman"/>
          <w:color w:val="0F243E" w:themeColor="text2" w:themeShade="80"/>
          <w:spacing w:val="-4"/>
          <w:sz w:val="28"/>
          <w:szCs w:val="28"/>
          <w:lang w:val="pl-PL"/>
        </w:rPr>
        <w:t>s</w:t>
      </w:r>
      <w:r w:rsidRPr="005A1237">
        <w:rPr>
          <w:rFonts w:ascii="Times New Roman" w:hAnsi="Times New Roman"/>
          <w:color w:val="0F243E" w:themeColor="text2" w:themeShade="80"/>
          <w:spacing w:val="-4"/>
          <w:sz w:val="28"/>
          <w:szCs w:val="28"/>
        </w:rPr>
        <w:t>.</w:t>
      </w:r>
    </w:p>
    <w:p w:rsidR="00A952D7" w:rsidRPr="009F3FAD" w:rsidRDefault="00A952D7" w:rsidP="00A952D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</w:pP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</w:rPr>
        <w:t xml:space="preserve"> </w:t>
      </w: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>Grzegorczykowa</w:t>
      </w:r>
      <w:r w:rsidR="00223E77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</w:rPr>
        <w:t xml:space="preserve"> </w:t>
      </w: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 xml:space="preserve"> R. Wykłady z polskiej skł</w:t>
      </w:r>
      <w:r w:rsidR="005A1237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 xml:space="preserve">adni </w:t>
      </w:r>
      <w:r w:rsidR="005A1237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</w:rPr>
        <w:t xml:space="preserve">. </w:t>
      </w: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>Warszawa:</w:t>
      </w:r>
      <w:r w:rsidR="00223E77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</w:rPr>
        <w:t xml:space="preserve"> </w:t>
      </w: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 xml:space="preserve"> PWN,</w:t>
      </w:r>
      <w:r w:rsidR="00223E77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</w:rPr>
        <w:t xml:space="preserve"> </w:t>
      </w: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</w:rPr>
        <w:t xml:space="preserve"> 2004</w:t>
      </w:r>
      <w:r w:rsidR="00223E77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 xml:space="preserve">. </w:t>
      </w: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 xml:space="preserve"> 159 s. </w:t>
      </w:r>
    </w:p>
    <w:p w:rsidR="00A952D7" w:rsidRPr="009F3FAD" w:rsidRDefault="00A952D7" w:rsidP="00A952D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</w:pP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</w:rPr>
        <w:t xml:space="preserve"> </w:t>
      </w: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 xml:space="preserve">Koneczna H. Funkcje zdań jednoczłonowych i dwuczłonowych w </w:t>
      </w:r>
      <w:r w:rsidR="005A1237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 xml:space="preserve">języku polskim </w:t>
      </w: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 xml:space="preserve">  //</w:t>
      </w: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</w:rPr>
        <w:t xml:space="preserve"> </w:t>
      </w: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 xml:space="preserve">Problemy składni polskej. </w:t>
      </w: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</w:rPr>
        <w:t xml:space="preserve"> </w:t>
      </w: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 xml:space="preserve">Studia </w:t>
      </w: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</w:rPr>
        <w:t xml:space="preserve">* </w:t>
      </w: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>dyskusje</w:t>
      </w: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</w:rPr>
        <w:t xml:space="preserve"> *</w:t>
      </w: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 xml:space="preserve"> polemiki z lat 1945</w:t>
      </w:r>
      <w:r w:rsidR="00223E77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</w:rPr>
        <w:t>–</w:t>
      </w: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>1970</w:t>
      </w:r>
      <w:r w:rsidR="005A1237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</w:rPr>
        <w:t>.</w:t>
      </w: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 xml:space="preserve"> Warszawa:</w:t>
      </w:r>
      <w:r w:rsidR="00223E77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</w:rPr>
        <w:t xml:space="preserve"> </w:t>
      </w: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 xml:space="preserve"> PWN, </w:t>
      </w:r>
      <w:r w:rsidR="00223E77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</w:rPr>
        <w:t xml:space="preserve"> </w:t>
      </w: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>1971</w:t>
      </w:r>
      <w:r w:rsidR="00223E77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</w:rPr>
        <w:t xml:space="preserve">.  </w:t>
      </w: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>S. 60</w:t>
      </w: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</w:rPr>
        <w:t xml:space="preserve"> – </w:t>
      </w: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>92.</w:t>
      </w:r>
    </w:p>
    <w:p w:rsidR="009F3FAD" w:rsidRPr="009F3FAD" w:rsidRDefault="009F3FAD" w:rsidP="009F3FA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</w:pP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</w:rPr>
        <w:t xml:space="preserve"> </w:t>
      </w: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 xml:space="preserve">Nauka o języku dla polonistów / </w:t>
      </w:r>
      <w:r w:rsidR="00223E77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 xml:space="preserve">pod. red. Stanisława Dubisza. </w:t>
      </w: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 xml:space="preserve">Warszawa: Wydawnictwo „Ksążka i Wiedza”, </w:t>
      </w:r>
      <w:r w:rsidR="00223E77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</w:rPr>
        <w:t xml:space="preserve"> </w:t>
      </w:r>
      <w:r w:rsidR="00223E77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 xml:space="preserve">2002. </w:t>
      </w: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 xml:space="preserve"> 624 s.</w:t>
      </w:r>
    </w:p>
    <w:p w:rsidR="00A952D7" w:rsidRPr="009F3FAD" w:rsidRDefault="00A952D7" w:rsidP="009F3FA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</w:pP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</w:rPr>
        <w:t xml:space="preserve"> </w:t>
      </w: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>Polański</w:t>
      </w:r>
      <w:r w:rsidR="00223E77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</w:rPr>
        <w:t xml:space="preserve"> </w:t>
      </w: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 xml:space="preserve"> K. Encyklo</w:t>
      </w:r>
      <w:r w:rsidR="005A1237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 xml:space="preserve">pedia językoznawstwa ogólnego </w:t>
      </w:r>
      <w:r w:rsidR="005A1237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</w:rPr>
        <w:t>.</w:t>
      </w:r>
      <w:r w:rsidR="005A1237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>Wroz</w:t>
      </w:r>
      <w:r w:rsidR="00F843C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>ław</w:t>
      </w:r>
      <w:r w:rsidR="00223E77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 xml:space="preserve">, 1999. </w:t>
      </w: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 xml:space="preserve"> 732 s.</w:t>
      </w:r>
    </w:p>
    <w:p w:rsidR="00727B36" w:rsidRPr="009F3FAD" w:rsidRDefault="00727B36" w:rsidP="00727B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</w:pP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</w:rPr>
        <w:t xml:space="preserve">  </w:t>
      </w: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>Rittel T. Kategoria osoby w pols</w:t>
      </w:r>
      <w:r w:rsidR="005A1237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>kim zdaniu</w:t>
      </w:r>
      <w:r w:rsidR="005A1237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</w:rPr>
        <w:t xml:space="preserve">. </w:t>
      </w:r>
      <w:r w:rsidR="005A1237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>Warszawa – Kraków</w:t>
      </w:r>
      <w:r w:rsidR="00223E77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 xml:space="preserve">, 1985. </w:t>
      </w:r>
      <w:r w:rsidRPr="009F3FAD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pl-PL"/>
        </w:rPr>
        <w:t xml:space="preserve"> 320 s.</w:t>
      </w:r>
    </w:p>
    <w:p w:rsidR="009F3FAD" w:rsidRDefault="009F3FAD" w:rsidP="009F3FAD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color w:val="0F243E" w:themeColor="text2" w:themeShade="8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i/>
          <w:color w:val="0F243E" w:themeColor="text2" w:themeShade="80"/>
          <w:spacing w:val="-4"/>
          <w:sz w:val="28"/>
          <w:szCs w:val="28"/>
        </w:rPr>
        <w:t>Стаття надійшла до редакційної колегії 17.01.2017 р.</w:t>
      </w:r>
    </w:p>
    <w:p w:rsidR="009F3FAD" w:rsidRPr="009F3FAD" w:rsidRDefault="009F3FAD" w:rsidP="009F3FAD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color w:val="0F243E" w:themeColor="text2" w:themeShade="80"/>
          <w:spacing w:val="-4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F243E" w:themeColor="text2" w:themeShade="80"/>
          <w:spacing w:val="-4"/>
          <w:sz w:val="28"/>
          <w:szCs w:val="28"/>
        </w:rPr>
        <w:t xml:space="preserve">                       Рекомендована до друку д.ф.н., професором  </w:t>
      </w:r>
      <w:r>
        <w:rPr>
          <w:rFonts w:ascii="Times New Roman" w:hAnsi="Times New Roman" w:cs="Times New Roman"/>
          <w:b/>
          <w:i/>
          <w:color w:val="0F243E" w:themeColor="text2" w:themeShade="80"/>
          <w:spacing w:val="-4"/>
          <w:sz w:val="28"/>
          <w:szCs w:val="28"/>
        </w:rPr>
        <w:t>Кононенком В.І.</w:t>
      </w:r>
      <w:r>
        <w:rPr>
          <w:rFonts w:ascii="Times New Roman" w:hAnsi="Times New Roman" w:cs="Times New Roman"/>
          <w:i/>
          <w:color w:val="0F243E" w:themeColor="text2" w:themeShade="80"/>
          <w:spacing w:val="-4"/>
          <w:sz w:val="28"/>
          <w:szCs w:val="28"/>
        </w:rPr>
        <w:t>,</w:t>
      </w:r>
    </w:p>
    <w:p w:rsidR="00A952D7" w:rsidRPr="00DD4552" w:rsidRDefault="009F3FAD" w:rsidP="009F3FAD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color w:val="0F243E" w:themeColor="text2" w:themeShade="80"/>
          <w:spacing w:val="-4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  <w:lang w:val="ru-RU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color w:val="0F243E" w:themeColor="text2" w:themeShade="80"/>
          <w:spacing w:val="-4"/>
          <w:sz w:val="28"/>
          <w:szCs w:val="28"/>
          <w:lang w:val="ru-RU"/>
        </w:rPr>
        <w:t>д</w:t>
      </w:r>
      <w:r w:rsidRPr="00DD4552">
        <w:rPr>
          <w:rFonts w:ascii="Times New Roman" w:hAnsi="Times New Roman" w:cs="Times New Roman"/>
          <w:i/>
          <w:color w:val="0F243E" w:themeColor="text2" w:themeShade="80"/>
          <w:spacing w:val="-4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i/>
          <w:color w:val="0F243E" w:themeColor="text2" w:themeShade="80"/>
          <w:spacing w:val="-4"/>
          <w:sz w:val="28"/>
          <w:szCs w:val="28"/>
          <w:lang w:val="ru-RU"/>
        </w:rPr>
        <w:t>ф</w:t>
      </w:r>
      <w:r w:rsidRPr="00DD4552">
        <w:rPr>
          <w:rFonts w:ascii="Times New Roman" w:hAnsi="Times New Roman" w:cs="Times New Roman"/>
          <w:i/>
          <w:color w:val="0F243E" w:themeColor="text2" w:themeShade="80"/>
          <w:spacing w:val="-4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i/>
          <w:color w:val="0F243E" w:themeColor="text2" w:themeShade="80"/>
          <w:spacing w:val="-4"/>
          <w:sz w:val="28"/>
          <w:szCs w:val="28"/>
          <w:lang w:val="ru-RU"/>
        </w:rPr>
        <w:t>н</w:t>
      </w:r>
      <w:r w:rsidRPr="00DD4552">
        <w:rPr>
          <w:rFonts w:ascii="Times New Roman" w:hAnsi="Times New Roman" w:cs="Times New Roman"/>
          <w:i/>
          <w:color w:val="0F243E" w:themeColor="text2" w:themeShade="80"/>
          <w:spacing w:val="-4"/>
          <w:sz w:val="28"/>
          <w:szCs w:val="28"/>
          <w:lang w:val="en-US"/>
        </w:rPr>
        <w:t xml:space="preserve">., </w:t>
      </w:r>
      <w:r>
        <w:rPr>
          <w:rFonts w:ascii="Times New Roman" w:hAnsi="Times New Roman" w:cs="Times New Roman"/>
          <w:i/>
          <w:color w:val="0F243E" w:themeColor="text2" w:themeShade="80"/>
          <w:spacing w:val="-4"/>
          <w:sz w:val="28"/>
          <w:szCs w:val="28"/>
          <w:lang w:val="ru-RU"/>
        </w:rPr>
        <w:t>професором</w:t>
      </w:r>
      <w:r w:rsidRPr="00DD4552">
        <w:rPr>
          <w:rFonts w:ascii="Times New Roman" w:hAnsi="Times New Roman" w:cs="Times New Roman"/>
          <w:i/>
          <w:color w:val="0F243E" w:themeColor="text2" w:themeShade="80"/>
          <w:spacing w:val="-4"/>
          <w:sz w:val="28"/>
          <w:szCs w:val="28"/>
          <w:lang w:val="en-US"/>
        </w:rPr>
        <w:t xml:space="preserve"> </w:t>
      </w:r>
      <w:r w:rsidR="00F843CD" w:rsidRPr="00DD4552">
        <w:rPr>
          <w:rFonts w:ascii="Times New Roman" w:hAnsi="Times New Roman" w:cs="Times New Roman"/>
          <w:b/>
          <w:i/>
          <w:color w:val="0F243E" w:themeColor="text2" w:themeShade="80"/>
          <w:spacing w:val="-4"/>
          <w:sz w:val="28"/>
          <w:szCs w:val="28"/>
          <w:lang w:val="en-US"/>
        </w:rPr>
        <w:t xml:space="preserve"> </w:t>
      </w:r>
      <w:r w:rsidR="00F843CD">
        <w:rPr>
          <w:rFonts w:ascii="Times New Roman" w:hAnsi="Times New Roman" w:cs="Times New Roman"/>
          <w:b/>
          <w:i/>
          <w:color w:val="0F243E" w:themeColor="text2" w:themeShade="80"/>
          <w:spacing w:val="-4"/>
          <w:sz w:val="28"/>
          <w:szCs w:val="28"/>
          <w:lang w:val="ru-RU"/>
        </w:rPr>
        <w:t>Лесюком</w:t>
      </w:r>
      <w:r w:rsidR="00F843CD" w:rsidRPr="00DD4552">
        <w:rPr>
          <w:rFonts w:ascii="Times New Roman" w:hAnsi="Times New Roman" w:cs="Times New Roman"/>
          <w:b/>
          <w:i/>
          <w:color w:val="0F243E" w:themeColor="text2" w:themeShade="80"/>
          <w:spacing w:val="-4"/>
          <w:sz w:val="28"/>
          <w:szCs w:val="28"/>
          <w:lang w:val="en-US"/>
        </w:rPr>
        <w:t xml:space="preserve"> </w:t>
      </w:r>
      <w:r w:rsidR="00F843CD">
        <w:rPr>
          <w:rFonts w:ascii="Times New Roman" w:hAnsi="Times New Roman" w:cs="Times New Roman"/>
          <w:b/>
          <w:i/>
          <w:color w:val="0F243E" w:themeColor="text2" w:themeShade="80"/>
          <w:spacing w:val="-4"/>
          <w:sz w:val="28"/>
          <w:szCs w:val="28"/>
          <w:lang w:val="ru-RU"/>
        </w:rPr>
        <w:t>М</w:t>
      </w:r>
      <w:r w:rsidR="00F843CD" w:rsidRPr="00DD4552">
        <w:rPr>
          <w:rFonts w:ascii="Times New Roman" w:hAnsi="Times New Roman" w:cs="Times New Roman"/>
          <w:b/>
          <w:i/>
          <w:color w:val="0F243E" w:themeColor="text2" w:themeShade="80"/>
          <w:spacing w:val="-4"/>
          <w:sz w:val="28"/>
          <w:szCs w:val="28"/>
          <w:lang w:val="en-US"/>
        </w:rPr>
        <w:t>.</w:t>
      </w:r>
      <w:r w:rsidR="00F843CD">
        <w:rPr>
          <w:rFonts w:ascii="Times New Roman" w:hAnsi="Times New Roman" w:cs="Times New Roman"/>
          <w:b/>
          <w:i/>
          <w:color w:val="0F243E" w:themeColor="text2" w:themeShade="80"/>
          <w:spacing w:val="-4"/>
          <w:sz w:val="28"/>
          <w:szCs w:val="28"/>
          <w:lang w:val="ru-RU"/>
        </w:rPr>
        <w:t>П</w:t>
      </w:r>
      <w:r w:rsidR="00F843CD" w:rsidRPr="00DD4552">
        <w:rPr>
          <w:rFonts w:ascii="Times New Roman" w:hAnsi="Times New Roman" w:cs="Times New Roman"/>
          <w:b/>
          <w:i/>
          <w:color w:val="0F243E" w:themeColor="text2" w:themeShade="80"/>
          <w:spacing w:val="-4"/>
          <w:sz w:val="28"/>
          <w:szCs w:val="28"/>
          <w:lang w:val="en-US"/>
        </w:rPr>
        <w:t>.</w:t>
      </w:r>
    </w:p>
    <w:p w:rsidR="00F843CD" w:rsidRDefault="000D5427" w:rsidP="00F843CD">
      <w:pPr>
        <w:spacing w:line="360" w:lineRule="auto"/>
        <w:ind w:left="-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Oksana Korpalo. </w:t>
      </w:r>
      <w:r w:rsidR="00F843CD">
        <w:rPr>
          <w:sz w:val="28"/>
          <w:szCs w:val="28"/>
          <w:lang w:val="en-US"/>
        </w:rPr>
        <w:t xml:space="preserve">THE SYNTACSIC PERSON IN THE INFINITIVE SENTENCE IN THE MODERN UKRAINIAN </w:t>
      </w:r>
      <w:r>
        <w:rPr>
          <w:sz w:val="28"/>
          <w:szCs w:val="28"/>
          <w:lang w:val="en-US"/>
        </w:rPr>
        <w:t xml:space="preserve">AND POLISH </w:t>
      </w:r>
      <w:r w:rsidR="00F843CD">
        <w:rPr>
          <w:sz w:val="28"/>
          <w:szCs w:val="28"/>
          <w:lang w:val="en-US"/>
        </w:rPr>
        <w:t>LANGUAGE</w:t>
      </w:r>
      <w:r>
        <w:rPr>
          <w:sz w:val="28"/>
          <w:szCs w:val="28"/>
          <w:lang w:val="en-US"/>
        </w:rPr>
        <w:t>S</w:t>
      </w:r>
    </w:p>
    <w:p w:rsidR="00360B56" w:rsidRDefault="000D5427" w:rsidP="000D5427">
      <w:pPr>
        <w:spacing w:line="360" w:lineRule="auto"/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</w:t>
      </w:r>
      <w:r w:rsidRPr="00AF2A3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="00F843CD">
        <w:rPr>
          <w:i/>
          <w:sz w:val="28"/>
          <w:szCs w:val="28"/>
          <w:lang w:val="en-US"/>
        </w:rPr>
        <w:t xml:space="preserve">     The author of the article analyses the semantic two-member of the infinitive one-member sentence in which the action must be done by a particular or a generic person. The methods of expressing the syntactic person in the sentences with the explicit and implicit dative case are studied.</w:t>
      </w:r>
    </w:p>
    <w:p w:rsidR="00360B56" w:rsidRDefault="00F843CD" w:rsidP="00360B56">
      <w:pPr>
        <w:spacing w:line="360" w:lineRule="auto"/>
        <w:ind w:left="-360"/>
        <w:jc w:val="both"/>
        <w:rPr>
          <w:i/>
          <w:sz w:val="28"/>
          <w:szCs w:val="28"/>
        </w:rPr>
      </w:pPr>
      <w:r w:rsidRPr="00360B56">
        <w:rPr>
          <w:b/>
          <w:i/>
          <w:sz w:val="28"/>
          <w:szCs w:val="28"/>
          <w:lang w:val="en-US"/>
        </w:rPr>
        <w:t>Key words</w:t>
      </w:r>
      <w:r w:rsidRPr="0071599D">
        <w:rPr>
          <w:i/>
          <w:sz w:val="28"/>
          <w:szCs w:val="28"/>
          <w:lang w:val="en-US"/>
        </w:rPr>
        <w:t>:</w:t>
      </w:r>
      <w:r>
        <w:rPr>
          <w:i/>
          <w:sz w:val="28"/>
          <w:szCs w:val="28"/>
          <w:lang w:val="en-US"/>
        </w:rPr>
        <w:t xml:space="preserve"> syntactic person, infinitive one-member person, dative agentive, particular </w:t>
      </w:r>
    </w:p>
    <w:p w:rsidR="00F843CD" w:rsidRPr="00360B56" w:rsidRDefault="00F843CD" w:rsidP="00360B56">
      <w:pPr>
        <w:spacing w:line="360" w:lineRule="auto"/>
        <w:ind w:left="-360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  <w:lang w:val="en-US"/>
        </w:rPr>
        <w:t>and</w:t>
      </w:r>
      <w:proofErr w:type="gramEnd"/>
      <w:r>
        <w:rPr>
          <w:i/>
          <w:sz w:val="28"/>
          <w:szCs w:val="28"/>
          <w:lang w:val="en-US"/>
        </w:rPr>
        <w:t xml:space="preserve"> generic person.</w:t>
      </w:r>
    </w:p>
    <w:p w:rsidR="005D1FF0" w:rsidRDefault="005D1FF0" w:rsidP="005D1FF0">
      <w:pPr>
        <w:spacing w:line="360" w:lineRule="auto"/>
        <w:jc w:val="both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bookmarkStart w:id="0" w:name="_GoBack"/>
      <w:r w:rsidRPr="00DA2A0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ru-RU"/>
        </w:rPr>
        <w:lastRenderedPageBreak/>
        <w:t>УДК 81</w:t>
      </w:r>
      <w:r w:rsidR="00DA2A00" w:rsidRPr="00DA2A0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ru-RU"/>
        </w:rPr>
        <w:t>’</w:t>
      </w:r>
      <w:r w:rsidR="00DA2A0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367: 811.161.2 +</w:t>
      </w:r>
      <w:r w:rsidRPr="00DA2A0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ru-RU"/>
        </w:rPr>
        <w:t>162.1</w:t>
      </w:r>
    </w:p>
    <w:p w:rsidR="00CE0B01" w:rsidRDefault="00DA2A00" w:rsidP="005D1FF0">
      <w:pPr>
        <w:spacing w:line="360" w:lineRule="auto"/>
        <w:jc w:val="both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ББК 81.2 (Пол)22</w:t>
      </w:r>
    </w:p>
    <w:p w:rsidR="00DA2A00" w:rsidRPr="00DA2A00" w:rsidRDefault="00DA2A00" w:rsidP="005D1FF0">
      <w:pPr>
        <w:spacing w:line="360" w:lineRule="auto"/>
        <w:jc w:val="both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                                                                                                           Оксана Корпало</w:t>
      </w:r>
    </w:p>
    <w:p w:rsidR="0054634E" w:rsidRDefault="005D1FF0" w:rsidP="005D1FF0">
      <w:pPr>
        <w:spacing w:line="36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    БЕЗОСОБОВІ ФОРМИ НА  </w:t>
      </w:r>
      <w:r w:rsidR="00CF6902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НО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, -</w:t>
      </w:r>
      <w:r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ТО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 </w:t>
      </w:r>
      <w:r w:rsidR="00DA2A00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І КАТЕГОРІЯ СИНТАКСИЧНОЇ ОСОБИ В УКРАЇНСЬКІЙ І ПОЛЬСЬКІЙ МОВАХ   (зіставний аспект)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</w:p>
    <w:p w:rsidR="0054634E" w:rsidRDefault="0054634E" w:rsidP="005D1FF0">
      <w:pPr>
        <w:spacing w:line="36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5D1FF0" w:rsidRDefault="0054634E" w:rsidP="005D1FF0">
      <w:pPr>
        <w:spacing w:line="360" w:lineRule="auto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    У статті проаналізовано еволюцію </w:t>
      </w:r>
      <w:r w:rsidR="00E516AD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поглядів  мовознавців на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реалізацію граматичних значень особи в </w:t>
      </w:r>
      <w:r w:rsidR="00D863D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реченнях з безособовими формами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на </w:t>
      </w:r>
      <w:r w:rsidR="00CF6902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но, -то</w:t>
      </w:r>
      <w:r w:rsidR="00E516AD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в зіставному аспекті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. З</w:t>
      </w:r>
      <w:r w:rsidRPr="0054634E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ясовано, що суб’єкту в реченнях з цими дієслівними формами</w:t>
      </w:r>
      <w:r w:rsidR="005D1FF0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 </w:t>
      </w:r>
      <w:r w:rsidR="005D1FF0" w:rsidRPr="00CF6902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="00CF6902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властива неозначеність, спричинена прямим  або опосередкованим відношенням дії до множини суб’єктів-осіб. Установлено вияви неозначеності суб’єкта відповідно до специфіки позначуваних дій і комунікативних завдань мовця.</w:t>
      </w:r>
    </w:p>
    <w:p w:rsidR="00E516AD" w:rsidRPr="00E516AD" w:rsidRDefault="00100BCF" w:rsidP="005D1FF0">
      <w:pPr>
        <w:spacing w:line="360" w:lineRule="auto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 w:rsidRPr="00100BCF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ru-RU"/>
        </w:rPr>
        <w:t xml:space="preserve">    </w:t>
      </w:r>
      <w:r w:rsidR="00CF6902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Ключові слова:</w:t>
      </w:r>
      <w:r w:rsidR="00E516AD" w:rsidRPr="00E516AD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ru-RU"/>
        </w:rPr>
        <w:t xml:space="preserve"> </w:t>
      </w:r>
      <w:r w:rsidR="00CF6902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предикативні форми на -но, -то, суб’єкт, неозначеність.</w:t>
      </w:r>
    </w:p>
    <w:p w:rsidR="00100BCF" w:rsidRPr="00E516AD" w:rsidRDefault="00100BCF" w:rsidP="005D1FF0">
      <w:pPr>
        <w:spacing w:line="360" w:lineRule="auto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ru-RU"/>
        </w:rPr>
      </w:pPr>
    </w:p>
    <w:p w:rsidR="00100BCF" w:rsidRDefault="00100BCF" w:rsidP="005D1FF0">
      <w:pPr>
        <w:spacing w:line="360" w:lineRule="auto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en-US"/>
        </w:rPr>
      </w:pPr>
      <w:r w:rsidRPr="000C60DD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en-US"/>
        </w:rPr>
        <w:t>The article highlights the evolution of Ukrainian and Poland linguist</w:t>
      </w:r>
      <w:r w:rsidR="000C60DD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en-US"/>
        </w:rPr>
        <w:t xml:space="preserve">s approaches about grammatical </w:t>
      </w:r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en-US"/>
        </w:rPr>
        <w:t xml:space="preserve">meaning </w:t>
      </w:r>
      <w:r w:rsidR="00D863D1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en-US"/>
        </w:rPr>
        <w:t>of</w:t>
      </w:r>
      <w:proofErr w:type="gramEnd"/>
      <w:r w:rsidR="00D863D1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en-US"/>
        </w:rPr>
        <w:t xml:space="preserve"> </w:t>
      </w:r>
      <w:r w:rsidR="00337FB1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en-US"/>
        </w:rPr>
        <w:t>personality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en-US"/>
        </w:rPr>
        <w:t xml:space="preserve"> </w:t>
      </w:r>
      <w:r w:rsidR="00D863D1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en-US"/>
        </w:rPr>
        <w:t xml:space="preserve">in sentences with predicative forms with  -no, -to 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en-US"/>
        </w:rPr>
        <w:t>in comparative  aspect.</w:t>
      </w:r>
      <w:r w:rsidR="000C60DD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en-US"/>
        </w:rPr>
        <w:t xml:space="preserve"> It was set up that subject indefiniteness is shown up differently due to the character of the noted actions and speaker’s communicative tasks.</w:t>
      </w:r>
    </w:p>
    <w:p w:rsidR="00E516AD" w:rsidRDefault="00E516AD" w:rsidP="005D1FF0">
      <w:pPr>
        <w:spacing w:line="360" w:lineRule="auto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en-US"/>
        </w:rPr>
        <w:t xml:space="preserve">    </w:t>
      </w:r>
      <w:r w:rsidRPr="0040364D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en-US"/>
        </w:rPr>
        <w:t>Key words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: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en-US"/>
        </w:rPr>
        <w:t xml:space="preserve"> predicative forms with -no, -to endings, subject, indefiniteness.</w:t>
      </w:r>
    </w:p>
    <w:p w:rsidR="00D863D1" w:rsidRDefault="002E40D9" w:rsidP="005D1FF0">
      <w:pPr>
        <w:spacing w:line="360" w:lineRule="auto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    </w:t>
      </w:r>
    </w:p>
    <w:p w:rsidR="002E40D9" w:rsidRPr="0040364D" w:rsidRDefault="002E40D9" w:rsidP="002E40D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    </w:t>
      </w:r>
      <w:r w:rsid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оходження, функціонування,</w:t>
      </w:r>
      <w:r w:rsid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синоніміка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синтаксичних конструкцій </w:t>
      </w:r>
      <w:r w:rsid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і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з предикативними формами на</w:t>
      </w:r>
      <w:r w:rsid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337FB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-но, -то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з іншими структурами неодноразово були предметом розгляду в працях багатьох мовознавців минулого та сьогодення, зокре</w:t>
      </w:r>
      <w:r w:rsidR="006F6CDA"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ма в україністиці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: О. Поте</w:t>
      </w:r>
      <w:r w:rsidR="006F6CDA"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бні, Є. Тимченка,  О.</w:t>
      </w:r>
      <w:r w:rsidR="00337FB1" w:rsidRP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6F6CDA"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Курило,  </w:t>
      </w:r>
      <w:r w:rsid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Ю.</w:t>
      </w:r>
      <w:r w:rsid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Шевельова,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Л.</w:t>
      </w:r>
      <w:r w:rsid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Булаховського, В. Русанівс</w:t>
      </w:r>
      <w:r w:rsidR="006F6CDA"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ького, М. Плющ, С.</w:t>
      </w:r>
      <w:r w:rsid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6F6CDA"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Єрмоленко,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6F6CDA"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 xml:space="preserve">К.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Городенської, О. Лаврінець та ін.; у полоністиці: З. Салоні,</w:t>
      </w:r>
      <w:r w:rsidR="006F6CDA"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6F6CDA"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А.</w:t>
      </w:r>
      <w:r w:rsid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Дороса,  А.</w:t>
      </w:r>
      <w:r w:rsid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Вєжбіцької, </w:t>
      </w:r>
      <w:r w:rsidR="006F6CDA"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Т.</w:t>
      </w:r>
      <w:r w:rsid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6F6CDA"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Ріттель, О. Волінської, Д. Вєчорек, М. Марцянік та ін. Проте й досі в сучасній лінгвістиці навколо багатьох питань щодо названого  об’єкта дослідження тривають дискусії.</w:t>
      </w:r>
      <w:r w:rsidR="00BE4D39"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Так, </w:t>
      </w:r>
      <w:r w:rsidR="00C3784A"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„в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українському мовознавстві з дієприкметниковими предикативами на -</w:t>
      </w:r>
      <w:r w:rsidRPr="008F3E6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но, -то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пов’язані три основні проблеми: 1) чи можуть уживатися при них допоміжні дієслова було, буде, тобто яке їх часове значення; 2) чи може вживатися при них орудний дійової особи, тобто чи мають вони ознаки пасивності; 3) чи виражають вони наслідок тільки людської діяльності, тобто чи можуть вони позначати явища природи. Навколо цих питань у свій час точилася </w:t>
      </w:r>
      <w:r w:rsidR="00C704F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гостра полеміка й боротьба” </w:t>
      </w:r>
      <w:r w:rsidR="00C704F0" w:rsidRPr="00C704F0">
        <w:rPr>
          <w:rFonts w:ascii="Times New Roman" w:hAnsi="Times New Roman" w:cs="Times New Roman"/>
          <w:color w:val="0F243E" w:themeColor="text2" w:themeShade="80"/>
          <w:sz w:val="28"/>
          <w:szCs w:val="28"/>
          <w:lang w:val="ru-RU"/>
        </w:rPr>
        <w:t>[</w:t>
      </w:r>
      <w:r w:rsidR="00C704F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Слинько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с. 205-206], а деякі з них, зокрема питання про нормативність  конструкцій із суб’єктним компонентом у формі орудного відмінка, є  дискусійними донині. </w:t>
      </w:r>
    </w:p>
    <w:p w:rsidR="00BE4D39" w:rsidRPr="0040364D" w:rsidRDefault="002E40D9" w:rsidP="002E40D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У польському мовознавстві такі проблеми відсутні, оскільки речення з предикатами на -</w:t>
      </w:r>
      <w:r w:rsidRPr="008F3E6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no, -to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по-перше, орієнтовані лише на минулий час (в українській – на минулий і майбутній) і  не вживаються з дієслівними зв’язками; по-друге, виражають наслідок тільки людської діяльності, а  по-третє, пасивність дії передається у польській мові переважно конструкція</w:t>
      </w:r>
      <w:r w:rsidR="00BE4D39"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ми з пасивними дієприкметниками. </w:t>
      </w:r>
      <w:r w:rsidR="00C3784A"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Натомість дискусійним є питання про безпідметовість конструкцій із предикативними формами на</w:t>
      </w:r>
      <w:r w:rsid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C3784A"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337FB1" w:rsidRP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</w:t>
      </w:r>
      <w:r w:rsidR="00337FB1" w:rsidRPr="00337FB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no, -to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C3784A"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.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</w:p>
    <w:p w:rsidR="002E40D9" w:rsidRPr="008F3E63" w:rsidRDefault="00BE4D39" w:rsidP="002E40D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Зважаючи на потребу </w:t>
      </w:r>
      <w:r w:rsidR="002E1543"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послідовного потрактування семантико-синтаксичних категорій із позицій сучасної граматичної науки, актуальним є з’ясування </w:t>
      </w:r>
      <w:r w:rsidR="002E40D9"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2E1543"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семантичної специфіки та  мовної  репрезентації суб’єкта в реченнях із предикативними формами на -</w:t>
      </w:r>
      <w:r w:rsidR="002E1543" w:rsidRPr="008F3E6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но, -то</w:t>
      </w:r>
      <w:r w:rsidR="008F3E6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в зіставному аспекті, що передбачає  вивчення </w:t>
      </w:r>
      <w:r w:rsidR="008F3E63" w:rsidRPr="008F3E6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„</w:t>
      </w:r>
      <w:r w:rsidR="008F3E6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як спільних, так і відмінних ознак переважно двох мов у їхньому синхронному вимірі</w:t>
      </w:r>
      <w:r w:rsidR="008F3E63" w:rsidRPr="008F3E6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”[</w:t>
      </w:r>
      <w:r w:rsid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</w:t>
      </w:r>
      <w:r w:rsidR="008F3E6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с.9</w:t>
      </w:r>
      <w:r w:rsidR="008F3E63" w:rsidRPr="008F3E6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].</w:t>
      </w:r>
    </w:p>
    <w:p w:rsidR="002E40D9" w:rsidRPr="0040364D" w:rsidRDefault="002E40D9" w:rsidP="002E40D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Дослідники,  відзначаючи  структурну схожість речень </w:t>
      </w:r>
      <w:r w:rsidR="00DE3DFC"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із  предикативними формами на -</w:t>
      </w:r>
      <w:r w:rsidR="00DE3DFC" w:rsidRPr="00337FB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нo, -т</w:t>
      </w:r>
      <w:r w:rsidRPr="00337FB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o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в </w:t>
      </w:r>
      <w:r w:rsidR="00DE3DFC"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українській і польській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мовах, водночас вка</w:t>
      </w:r>
      <w:r w:rsidR="00C704F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зують на окремі відмінності [Вєчорек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c. 39-50]. </w:t>
      </w:r>
      <w:r w:rsid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Зокрема, якщо в</w:t>
      </w:r>
      <w:r w:rsidR="00337FB1" w:rsidRP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укр</w:t>
      </w:r>
      <w:r w:rsid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аїнській мові</w:t>
      </w:r>
      <w:r w:rsidR="00337FB1" w:rsidRP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форми на </w:t>
      </w:r>
      <w:r w:rsidR="00337FB1" w:rsidRPr="00337FB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-но, -то</w:t>
      </w:r>
      <w:r w:rsidR="00337FB1" w:rsidRP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156AD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утворюються </w:t>
      </w:r>
      <w:r w:rsidR="00337FB1" w:rsidRP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від дієслі</w:t>
      </w:r>
      <w:r w:rsidR="00156AD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в недоконаного виду </w:t>
      </w:r>
      <w:r w:rsidR="00337FB1" w:rsidRP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обмежено („вони вживаються переважно в розмовному мовленні та в усній </w:t>
      </w:r>
      <w:r w:rsidR="00337FB1" w:rsidRP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 xml:space="preserve">народній творчості, вказуючи на повторюваність дії в минулому” [Теор. Морф. с. 290-291] на зразок </w:t>
      </w:r>
      <w:r w:rsidR="00337FB1"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казано, говорено, їжджено</w:t>
      </w:r>
      <w:r w:rsidR="00337FB1" w:rsidRP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), </w:t>
      </w:r>
      <w:r w:rsidR="00156AD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то </w:t>
      </w:r>
      <w:r w:rsidR="00337FB1" w:rsidRP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для польської мови типовими є форми як доконаного, так і недоконаного виду [Волінська, с.67] (</w:t>
      </w:r>
      <w:r w:rsidR="00337FB1"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zamknąć – zamknięto; zrobić – zrobiono, pisać – pisano; kochać – kochano; nieść – niesiono</w:t>
      </w:r>
      <w:r w:rsidR="00337FB1" w:rsidRP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). Недоконаний вид передає значення тривалої, повторюваної </w:t>
      </w:r>
      <w:r w:rsidR="00156AD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дії.</w:t>
      </w:r>
      <w:r w:rsidR="00156AD5"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156AD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У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країнській мові притаманні одночленні (</w:t>
      </w:r>
      <w:r w:rsidRPr="00C704F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Добре зіграно. Вирішено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), двочленні (</w:t>
      </w:r>
      <w:r w:rsidRPr="00C704F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Каву випито. Завдання виконано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) і тричленні (</w:t>
      </w:r>
      <w:r w:rsidRPr="00C704F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Все було втрачено Василієм Другим у тій битві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(Павло Загребельний)</w:t>
      </w:r>
      <w:r w:rsidR="00DE3DFC"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)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моделі  цих конструкцій, то для польської мови типовими є лише двочленні структури на зразок  </w:t>
      </w:r>
      <w:r w:rsidRPr="00C704F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Na zebraniu uchwalono rezolucje</w:t>
      </w:r>
      <w:r w:rsidR="002E1543" w:rsidRPr="00C704F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; Kawę podano</w:t>
      </w:r>
      <w:r w:rsidRPr="00C704F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. 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Лише в діалогах, як репліки-відповіді, трапляються одночленні структури, наприклад:  </w:t>
      </w:r>
      <w:r w:rsidRPr="00C704F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– Zadanie wykonano? – Wykonano. </w:t>
      </w:r>
      <w:r w:rsidR="002E1543"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На думку Д. Вєчорек, „українська мова пішла дальше, ніж польська, по шляху відособлення від інших слов’янських мов: вона дістала можливість уведення в двочленну каузативну модель третього члена – агенсивного додатка”, у той час як  польській мові така модель „в  її  суб’єктному варіанті невідома…” [271, с. 44-45].   Одну з причин відсутності суб’єктного члена в перфектних конструкціях  убачаємо в тому, що суб’єкт  відомий з найближчого контексту, і тому його повтор стає зайвим, наприкл</w:t>
      </w:r>
      <w:r w:rsidR="00156AD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ад: 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Podczas ostatniej wizyty u dentysty za plombę kazano mi sporo zapłacić – nie stać mnie na to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(Joanna Aleksandrowicz)  –  </w:t>
      </w:r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dentyst kazał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.                    </w:t>
      </w:r>
    </w:p>
    <w:p w:rsidR="002E40D9" w:rsidRPr="0040364D" w:rsidRDefault="002E40D9" w:rsidP="002E40D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Суб’єкт імпліцитно міститься в самій перфектній конструкції. А. Вєжбіцька, наприклад,  називає морфеми  </w:t>
      </w:r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-no, -to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складеними елементами в тому сенсі, що вони одночасно  акумулюють значення способу, часу і особи (що для флексійних мов є звичним явищем). Тому, робить висновок дослідниця, в конструкції на </w:t>
      </w:r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-nо, -tо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жодного агенса вставити неможливо, оскільки позиція підмета вже зайнята [272, c. 185]. У таких випадках суб’єкт мислиться як  неозначена кількість осіб, що  займається певним видом професійної діяльності, наприклад: Zlikwidowano węgierskie szkoły, skonfiskowano  majątki, przeprowadzono etniczne czystki (Wojciech Maziarski) – тобто Рaństwo zlikwidowało, skonfiskowało</w:t>
      </w:r>
      <w:r w:rsidR="00156AD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. 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Для нашого дослідження  важливим є вирішення проблеми  </w:t>
      </w:r>
      <w:r w:rsidR="00156AD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наявності/ відсутності категорії синтаксичної особи в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цих  </w:t>
      </w:r>
      <w:r w:rsidR="00156AD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>конструкціях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які в полоністиці традиційно вважаються безпідметовими реченнями</w:t>
      </w:r>
      <w:r w:rsidR="00DE3DFC"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 Хоча в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ідсутність підмета в називному відмінку, т. зв. постійний нуль („zero stałe”), в реченнях  з формами на  -</w:t>
      </w:r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no, -to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на думку  М. Марцянік, є облігаторним явищем головно з формального погляду, однак ці форми „семантично (виділення наше. – О.К.) мають категорію особи, яку на підставі самої форми не можна конкретно визначити, але можна окреслити принаймні в такий спосіб: не я, не ми, але ти, ви, вони. Мовець („nadawca komunikatu językowego”) виключений з переліку можливих виконавців дії” [236, с. 137], самі ж виконавці мисляться як неозначені особи. На це вказує можливість трансформації речень iз безособовими формами на </w:t>
      </w:r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-no, -to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в односкладні неозначено-особові речення, наприклад:  </w:t>
      </w:r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Gościniec prowadził, jakby zrobiono go z myślą o mnie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(Ewa Białołęcka) – </w:t>
      </w:r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Gościniec prowadził, jakby zrobili  go z myślą o mnie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; або  в двоскладні  з підметом, вираженим    іменником типу ludzie чи неозначеним займенником ktoś, наприклад: </w:t>
      </w:r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Aż ktoś ją pobił na plaży we Władku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(Marek Krajewski, Mariusz Czubaj).</w:t>
      </w:r>
    </w:p>
    <w:p w:rsidR="002E40D9" w:rsidRPr="0040364D" w:rsidRDefault="002E40D9" w:rsidP="002E40D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Можливість подібних трансформацій  зумовлена тим, що предикативи на </w:t>
      </w:r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-no, -to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зберігають давню властивість, успадковану ще від дієприкметників, – виражати наслідок людської діяльності. Саме цю властивість (як єдину!) зберегла польська мова. Дослідники-полоністи  акцентують на тому,  що речення з предикативними формами на  </w:t>
      </w:r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-no, -to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можна інтерпретувати лише як такі, що „містять квантор екзистенціальност</w:t>
      </w:r>
      <w:r w:rsidR="005D189A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і” [вєчорек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с. 51]; що виконавцем дії може бути</w:t>
      </w:r>
      <w:r w:rsidR="005D189A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лише людина або група осіб [марцянік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c.137]; що завжди „і</w:t>
      </w:r>
      <w:r w:rsidR="005D189A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снує хтось,  хто це зробив” [салоні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c. 89]. Так, речення </w:t>
      </w:r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Okno otwarto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має тільки одне значення:  якась людина (а  не вітер, не кішка, не гілка і т. п.) відчинила вікно. „Таким чином, польські перфектні форми на  </w:t>
      </w:r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-no, -to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завжди мають значення німецько</w:t>
      </w:r>
      <w:r w:rsidR="005D189A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го man або французького on” [вєчорек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, с. 51], а отже, речення на зразок  </w:t>
      </w:r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W oknie klasztoru zdmuchnięto światło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можна трансформувати тільки так:  </w:t>
      </w:r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W oknie klasztoru  zdmuchnęli światło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або  </w:t>
      </w:r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W oknie klasztoru ktoś zdmuchnął  światło.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Тоді як в українській мові  </w:t>
      </w:r>
      <w:r w:rsidR="005D189A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речення </w:t>
      </w:r>
      <w:r w:rsidR="005D189A"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Вікно зачинено</w:t>
      </w:r>
      <w:r w:rsidR="005D189A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EE346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можна потрактувати як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: </w:t>
      </w:r>
      <w:r w:rsidR="00EE346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а)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дію виконала людина (</w:t>
      </w:r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Мама зачинила вікно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); </w:t>
      </w:r>
      <w:r w:rsidR="00EE346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б)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дію виконала якась істота (не людина) або неістота (</w:t>
      </w:r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Вітер зачинив вікно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); </w:t>
      </w:r>
      <w:r w:rsidR="00EE346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в)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дія відбулася самовільно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>(</w:t>
      </w:r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Вікно зачинилося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).  Але в будь-якому випадку в  обох мовах такі перфектні конструкції неозначено-особові, а не безособові з огляду на їх семантику.</w:t>
      </w:r>
    </w:p>
    <w:p w:rsidR="002E40D9" w:rsidRPr="0040364D" w:rsidRDefault="002E40D9" w:rsidP="002E40D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Синтаксисти вказують на нейтральність форм на -no, -to щодо</w:t>
      </w:r>
      <w:r w:rsidR="00EE346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числа і роду суб’єкта дії [волінська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с. 68, с.71]. Так, у реченні на зразок </w:t>
      </w:r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Człowiek, z którego zrobiono kalekę, ma dużo trudniej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(Tomasz Konatkowski)  неможливо точно визначити, хто є виконавцем дії: </w:t>
      </w:r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ktoś zrobił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чи </w:t>
      </w:r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oni zrobili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; </w:t>
      </w:r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zrobił, zrobiła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чи </w:t>
      </w:r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one zrobiły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. У деяких випадках підказку маємо в контексті, наприклад: </w:t>
      </w:r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Ile lat temu napisano „Boska komedia”, a nic w niej jakoś ulepszyć nie można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(Włodzimierz Krzemiński); </w:t>
      </w:r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Piero malował i tak, i tak, ale był to już czas przełomu w wynalezieniu farb olejnych i coraz częściej nimi malowano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(Antoni Kapelański). Зрозуміло, що в першому реченні йдеться про всесвітньо відомого Данте Аліґ’єрі, а в другому – про невідомого, але конкретного  П’єро. </w:t>
      </w:r>
    </w:p>
    <w:p w:rsidR="002E40D9" w:rsidRPr="0040364D" w:rsidRDefault="002E40D9" w:rsidP="002E40D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М. Марцянік  протиставляє речення з формами на  - </w:t>
      </w:r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no, - to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конструкціям  на кшталт  </w:t>
      </w:r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mówi się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оскільки  перші з них орієнтовані на минулий час, а другі – на теперішній. Крім того, трансформації зі спробою включення в них виконавця дії виглядають, на думку дослідниці, так: „</w:t>
      </w:r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mówiono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= „mówiłeś ty, wy, oni”;  </w:t>
      </w:r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mówi się (mówiło się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) = „mówisz ty, wy, oni” lub „mówisz ty, wy, oni łącznie ze mną, z nami” [236, с. 137]. Тобто конструкції з  формами на - </w:t>
      </w:r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no, - to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передають неозначеність суб’єкта дії, а форми  із  </w:t>
      </w:r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się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–  його узагальненість.</w:t>
      </w:r>
    </w:p>
    <w:p w:rsidR="002E40D9" w:rsidRPr="0040364D" w:rsidRDefault="002E40D9" w:rsidP="002E40D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Знахідний відмінок  (або родовий відмінок при запереченні) обов’язковий при більшості предикативів на -</w:t>
      </w:r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no, -to,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що утворюються від перехідних дієслів. Знахідний відмінок виконує „ускладнену семантико-синтаксичну </w:t>
      </w:r>
      <w:r w:rsidR="00EE346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функцію об’єктного суб’єкта” [вихованець, с. 69], наприклад: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Dopiero w rok później </w:t>
      </w:r>
      <w:r w:rsidRPr="00EE346C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otwarto</w:t>
      </w:r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w pasażu prawdziwe </w:t>
      </w:r>
      <w:r w:rsidRPr="00EE346C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kino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(Jan Parandowski).</w:t>
      </w:r>
    </w:p>
    <w:p w:rsidR="002E40D9" w:rsidRPr="0040364D" w:rsidRDefault="002E40D9" w:rsidP="002E40D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Знахідний відмінок найчастіше відсутній при предикативах, утворених від неперехідних дієслів. Натомість у таких ре</w:t>
      </w:r>
      <w:r w:rsidR="00EE346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ченнях звичайно є  вказівка на місце, час і спосіб дії, наприклад:</w:t>
      </w:r>
      <w:r w:rsidR="00B97E9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Czasem konno lub powozami  jeżdżono do lasu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(Tadeusz Dołęga-Mostowicz), що свідчить про імпліцитного діяча. Порівняйте, наприклад, трансформовані речення: </w:t>
      </w:r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W jednych krajach  ludzie chodzą w łapciach; Czasem konno lub powozami  one  jeżdziły do lasu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2E40D9" w:rsidRPr="0040364D" w:rsidRDefault="002E40D9" w:rsidP="002E40D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 xml:space="preserve">       Без знахідного відмінка можуть бути також реченн</w:t>
      </w:r>
      <w:r w:rsidR="00B97E9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я з предикативними формами на -</w:t>
      </w:r>
      <w:r w:rsid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no, -</w:t>
      </w:r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to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які утворені від перехідних дієслів. У такому разі потенційного виконавця дії підказу</w:t>
      </w:r>
      <w:r w:rsidR="00B97E9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є локативний член, наприклад: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Cezary, jak zdecydowano w domu, miał pojechać do dużego miasta, najlepiej do Troyes, i tam szukać pracy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(Marek Jarosz</w:t>
      </w:r>
      <w:r w:rsidR="00B97E9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)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тобто вирішено (zdecydowano) тим чи тими, хто живе в будинку</w:t>
      </w:r>
      <w:r w:rsidR="00B97E9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. </w:t>
      </w:r>
    </w:p>
    <w:p w:rsidR="002E40D9" w:rsidRPr="0040364D" w:rsidRDefault="002E40D9" w:rsidP="002E40D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Таким чином, речення з предикативами на -</w:t>
      </w:r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nо, -tо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лише через відсутність  формального підмета доводиться визнавати граматично безпідметовими конструкціями. Однак „з семантичного погляду вони завжди двокомпонентні, бо мают</w:t>
      </w:r>
      <w:r w:rsidR="00B97E9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ь суб’єктно-об’єктний член” [</w:t>
      </w:r>
      <w:r w:rsidR="00B97E9F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ckbymrj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с. 209] у знахідному чи родовому відмінках, хоча він може бути і не виражений, імпліцитний. Семантично особовими  вважає такі речення  З. Салоні, вказуючи, однак, на неокресленість особи, оскільки мовець або не знає виконавця дії,</w:t>
      </w:r>
      <w:r w:rsidR="00B97E9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або  не хоче його називати </w:t>
      </w:r>
      <w:r w:rsidR="00B97E9F" w:rsidRPr="00B97E9F">
        <w:rPr>
          <w:rFonts w:ascii="Times New Roman" w:hAnsi="Times New Roman" w:cs="Times New Roman"/>
          <w:color w:val="0F243E" w:themeColor="text2" w:themeShade="80"/>
          <w:sz w:val="28"/>
          <w:szCs w:val="28"/>
          <w:lang w:val="ru-RU"/>
        </w:rPr>
        <w:t>[</w:t>
      </w:r>
      <w:r w:rsidR="00B97E9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салоні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с.75-91]. </w:t>
      </w:r>
    </w:p>
    <w:p w:rsidR="002E40D9" w:rsidRPr="0040364D" w:rsidRDefault="002E40D9" w:rsidP="00060217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T. Ріттель, як уже відзначалося,  не проводить чіткої межі між узагальненістю та неозначеністю, називаючи таку особу узагальнено-неозначеною („osoba uogólniona nieokreślona”) [255, с. 85-102]. Речення з предикативними формами на </w:t>
      </w:r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-no, -to</w:t>
      </w:r>
      <w:r w:rsidR="00B97E9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дослідниця поділяє за ступенем вияву неозначеності на три групи</w:t>
      </w:r>
      <w:r w:rsidR="0006021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[255, с. 91-92]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: а) речення з особою, що невідома тільки слухачеві</w:t>
      </w:r>
      <w:r w:rsidR="00060217" w:rsidRPr="0006021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06021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на зразок: </w:t>
      </w:r>
      <w:r w:rsidR="00060217"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Jak  mi powiadano  potem, stał się szybko najbogatszym oficerem wśród wszystkich biorących udział po jakiejkolwiek stronie w tej wojnie</w:t>
      </w:r>
      <w:r w:rsidR="00060217" w:rsidRPr="0006021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(Stanisław Dygat); 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б) речення  з особою, яка невідома ні мовцеві, ні слухачеві, але не узагальнена</w:t>
      </w:r>
      <w:r w:rsidR="0006021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наприклад: </w:t>
      </w:r>
      <w:r w:rsidR="00060217"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Michał jest obrońcą, ale na ogół malowano go z mieczem</w:t>
      </w:r>
      <w:r w:rsidR="0006021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(Małgorzata Saramonowicz)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;</w:t>
      </w:r>
      <w:r w:rsidR="0006021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в) речення з особою анонімною </w:t>
      </w:r>
      <w:r w:rsidR="0006021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: </w:t>
      </w:r>
      <w:r w:rsidR="00060217" w:rsidRPr="0006021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060217"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Jesteś pan z mięsa i kości, a we łbie masz mózg, czy zrobiono pana z galarety?!</w:t>
      </w:r>
      <w:r w:rsidR="00060217" w:rsidRPr="0006021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(Tadeusz Dołęga Mostowicz)</w:t>
      </w:r>
      <w:r w:rsidR="0006021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</w:t>
      </w:r>
    </w:p>
    <w:p w:rsidR="002E40D9" w:rsidRPr="0040364D" w:rsidRDefault="002E40D9" w:rsidP="002E40D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Д. Вєчорек, крім названих, виокремлює ще одну групу речень, в яких  суб’єкт дії не називається свідомо, тому що він зрозумілий із  ситуації чи контексту, наприклад: 1)  W szpitalu  powiedziano mi, że jest już lepiej i że zabrał pan żonę do domu  (Małgorzata Saramonowicz); 2) Pod wpływem mocarstw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>zachodnich wa</w:t>
      </w:r>
      <w:r w:rsidR="0006021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lki przerwano (Maria Dąbrowska).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У першому реченні об’єктивувати неозначений суб’єкт  допомагає вказі</w:t>
      </w:r>
      <w:r w:rsidR="0006021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вка на місце дії; у другому 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–  вказівка на причину дії.</w:t>
      </w:r>
    </w:p>
    <w:p w:rsidR="002E40D9" w:rsidRPr="0040364D" w:rsidRDefault="002E40D9" w:rsidP="002E40D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Iмпліцитна суб’єктна синтаксема може мати категорійне значення 2-ої особи. Це можливо лише в діалогах, у яких „мовець знаходиться в ситуації „iнституціон</w:t>
      </w:r>
      <w:r w:rsidR="0006021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альної влади” щодо слухача” [вєчорек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с. 55], як-от у реченнях:  – </w:t>
      </w:r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Spać radzę każdemu</w:t>
      </w:r>
      <w:r w:rsidRPr="002475D3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, zrozumiano</w:t>
      </w:r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?... Jutro pójdziecie w marsz!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(Leon Kruczkowski); Допоміжною вказівкою на те, що ймовірним виконавцем дії чи носієм стану може стати адресат,  у таких реченнях є питальна інтонація.</w:t>
      </w:r>
    </w:p>
    <w:p w:rsidR="002E40D9" w:rsidRPr="0040364D" w:rsidRDefault="002E40D9" w:rsidP="002E40D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В окрему групу Т. Ріттель виділяє речення, в яких форми на -no, -to стосуються самого мовця, і називає таку особу прихованою (ukrytą) [255, с. 93], наприклад: </w:t>
      </w:r>
      <w:r w:rsidRPr="002475D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W części wprowadzającej badania </w:t>
      </w:r>
      <w:r w:rsidRPr="002475D3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wyjaśniono</w:t>
      </w:r>
      <w:r w:rsidRPr="002475D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formowanie języka ukraińskiego i polskiego</w:t>
      </w:r>
      <w:r w:rsidR="002475D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…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(Iryna Kononenko</w:t>
      </w:r>
      <w:r w:rsidR="002475D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).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Речення з  прихованим суб’єктом дії використовуються в науковому чи публіцистичному стилях як спеціальний прийом автора, спрямований на те, щоб не виділяти себе з-поміж своїх читачів чи слухачів. </w:t>
      </w:r>
    </w:p>
    <w:p w:rsidR="002E40D9" w:rsidRPr="0040364D" w:rsidRDefault="002E40D9" w:rsidP="002E40D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Таким чином, польські конструкції на </w:t>
      </w:r>
      <w:r w:rsidRPr="002475D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-no, -to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семантично  особові, агенсивні, тобто виконавцем дії в них може бути тільки людина або група осіб,  і включають переважно ексклюзивні суб’єкти, за винятком pluralis modestiae, де перфектна форма є субститутом першої особи однини „ja”.</w:t>
      </w:r>
    </w:p>
    <w:p w:rsidR="00D863D1" w:rsidRPr="0040364D" w:rsidRDefault="002E40D9" w:rsidP="002E40D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Натомість неозначено-особові односкладні речення та конструкції  з перфектними  формами на -no, -to,  де суб’єкт не експлікований  окремою синтаксемою, реалізують лише ті  значення, які пов’язані з діяльністю людини. Неозначеність діяча в таких реченнях є явищем суто синтаксичним. Неоднотипні  за рівнем означеності суб’єкта такі структури,  з одного боку,  межують з означено-особовими, з другого – з узагальнено-особовими реченнями.</w:t>
      </w:r>
    </w:p>
    <w:p w:rsidR="00100BCF" w:rsidRPr="008F3E63" w:rsidRDefault="00095C3F" w:rsidP="005D1FF0">
      <w:pPr>
        <w:spacing w:line="36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              </w:t>
      </w:r>
      <w:r w:rsidR="008F3E6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      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</w:t>
      </w:r>
      <w:r w:rsidRPr="008F3E6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Література</w:t>
      </w:r>
    </w:p>
    <w:p w:rsidR="002475D3" w:rsidRPr="002475D3" w:rsidRDefault="002475D3" w:rsidP="002475D3">
      <w:pPr>
        <w:pStyle w:val="a3"/>
        <w:numPr>
          <w:ilvl w:val="0"/>
          <w:numId w:val="6"/>
        </w:numPr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lastRenderedPageBreak/>
        <w:t>Вихованець І. Р. Теоретична морфологія української мови / Іван Вихованець, Катерина Городенська / за ред. І. Вихованця. – К.: Унів. вид-во „Пульсари”, 2004. –  400 с.</w:t>
      </w:r>
    </w:p>
    <w:p w:rsidR="00095C3F" w:rsidRDefault="008F3E63" w:rsidP="008F3E63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/>
          <w:color w:val="0F243E" w:themeColor="text2" w:themeShade="80"/>
          <w:sz w:val="28"/>
          <w:szCs w:val="28"/>
        </w:rPr>
        <w:t>Кононенко В. І. Зіставно-типологічне вивчення сучасної української мови</w:t>
      </w:r>
      <w:r w:rsidRPr="00096EBD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//</w:t>
      </w:r>
      <w:r w:rsidR="00096EBD" w:rsidRPr="00096EBD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r w:rsidR="00096EBD">
        <w:rPr>
          <w:rFonts w:ascii="Times New Roman" w:hAnsi="Times New Roman"/>
          <w:color w:val="0F243E" w:themeColor="text2" w:themeShade="80"/>
          <w:sz w:val="28"/>
          <w:szCs w:val="28"/>
        </w:rPr>
        <w:t>Зіставно-типологічні студії: українська мова на тлі споріднених мов . Київ – Івано-Франківськ – Варшава, 2015.  С. 8-18.</w:t>
      </w:r>
    </w:p>
    <w:p w:rsidR="00096EBD" w:rsidRPr="00096EBD" w:rsidRDefault="00096EBD" w:rsidP="00096EBD">
      <w:pPr>
        <w:pStyle w:val="a3"/>
        <w:numPr>
          <w:ilvl w:val="0"/>
          <w:numId w:val="6"/>
        </w:numPr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096EBD">
        <w:rPr>
          <w:rFonts w:ascii="Times New Roman" w:hAnsi="Times New Roman"/>
          <w:color w:val="0F243E" w:themeColor="text2" w:themeShade="80"/>
          <w:sz w:val="28"/>
          <w:szCs w:val="28"/>
        </w:rPr>
        <w:t>Слинько І. І. Синтаксис сучасної української мови:  Проблемні питання /       І. І. Слинько,  Н. В. Гуйванюк, М. Ф. Кобилянська. – К.: Вища школа, 1994. – 670 с.</w:t>
      </w:r>
    </w:p>
    <w:p w:rsidR="002475D3" w:rsidRPr="002475D3" w:rsidRDefault="002475D3" w:rsidP="002475D3">
      <w:pPr>
        <w:pStyle w:val="a3"/>
        <w:numPr>
          <w:ilvl w:val="0"/>
          <w:numId w:val="6"/>
        </w:numPr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Marcjanik M. Zdania jednoczłonowe werbalne w języku polskim i rosyjskim (na materiale powieści Jana Parandowskiego „Niebo w płomieniach” i jej rosyjskiego przekładu E. Łysienki) / Małgorzata Marcianik // Studia i materiały XVII. Filologia rosyjska. – 1985. – Z 4. – S. 133 – 139.  </w:t>
      </w:r>
    </w:p>
    <w:p w:rsidR="00C704F0" w:rsidRPr="00C704F0" w:rsidRDefault="00C704F0" w:rsidP="00C704F0">
      <w:pPr>
        <w:pStyle w:val="a3"/>
        <w:numPr>
          <w:ilvl w:val="0"/>
          <w:numId w:val="6"/>
        </w:numPr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>Wieczorek D. Ukrainskij pierfiekt na  -no, -to na fonie polskogo pierfiekta / Diana Wieczorek. – Wrocław: WUW, 1994. – 115 s.</w:t>
      </w:r>
    </w:p>
    <w:p w:rsidR="00C704F0" w:rsidRPr="00C704F0" w:rsidRDefault="00C704F0" w:rsidP="00C704F0">
      <w:pPr>
        <w:pStyle w:val="a3"/>
        <w:numPr>
          <w:ilvl w:val="0"/>
          <w:numId w:val="6"/>
        </w:numPr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>Wolińska O. Konstrukcje bezmianownikowe we współczesnej polszczyźnie / Olga  Wolińska. – Katowice: Uniwersytet Sląski, 1978. – 141 s.</w:t>
      </w:r>
    </w:p>
    <w:p w:rsidR="002475D3" w:rsidRPr="002475D3" w:rsidRDefault="002475D3" w:rsidP="002475D3">
      <w:pPr>
        <w:pStyle w:val="a3"/>
        <w:numPr>
          <w:ilvl w:val="0"/>
          <w:numId w:val="6"/>
        </w:numPr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Rittel T. Kategoria osoby w polskim zdaniu / Teodozja Rittel. – Warszawa – Kraków: PWN, 1985. – 320 s.</w:t>
      </w:r>
    </w:p>
    <w:p w:rsidR="00B97E9F" w:rsidRPr="00B97E9F" w:rsidRDefault="005D189A" w:rsidP="005D189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D189A">
        <w:rPr>
          <w:rFonts w:ascii="Times New Roman" w:hAnsi="Times New Roman"/>
          <w:color w:val="0F243E" w:themeColor="text2" w:themeShade="80"/>
          <w:sz w:val="28"/>
          <w:szCs w:val="28"/>
        </w:rPr>
        <w:t xml:space="preserve">Saloni Z. Cechy składniowe polskiego czasownika / Zygmunt Saloni. – Wrocław – Warszawa – Kraków – Gdańsk: PAN Komitet Językoznawstwa,  Ossolineum, 1976. – 156 s. </w:t>
      </w:r>
    </w:p>
    <w:p w:rsidR="005D189A" w:rsidRPr="008F3E63" w:rsidRDefault="005D189A" w:rsidP="00B97E9F">
      <w:pPr>
        <w:pStyle w:val="a3"/>
        <w:spacing w:line="360" w:lineRule="auto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</w:p>
    <w:p w:rsidR="00100BCF" w:rsidRPr="00096EBD" w:rsidRDefault="00100BCF" w:rsidP="005D1FF0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096EBD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   </w:t>
      </w:r>
    </w:p>
    <w:p w:rsidR="00DA2A00" w:rsidRPr="005D1FF0" w:rsidRDefault="00DA2A00" w:rsidP="005D1FF0">
      <w:pPr>
        <w:spacing w:line="36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bookmarkEnd w:id="0"/>
    <w:p w:rsidR="006717FE" w:rsidRPr="009F3FAD" w:rsidRDefault="006717FE" w:rsidP="006717F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6717FE" w:rsidRPr="009F3FAD" w:rsidSect="00181B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76D" w:rsidRDefault="00EB476D" w:rsidP="00CE0B01">
      <w:pPr>
        <w:spacing w:after="0" w:line="240" w:lineRule="auto"/>
      </w:pPr>
      <w:r>
        <w:separator/>
      </w:r>
    </w:p>
  </w:endnote>
  <w:endnote w:type="continuationSeparator" w:id="0">
    <w:p w:rsidR="00EB476D" w:rsidRDefault="00EB476D" w:rsidP="00CE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76D" w:rsidRDefault="00EB476D" w:rsidP="00CE0B01">
      <w:pPr>
        <w:spacing w:after="0" w:line="240" w:lineRule="auto"/>
      </w:pPr>
      <w:r>
        <w:separator/>
      </w:r>
    </w:p>
  </w:footnote>
  <w:footnote w:type="continuationSeparator" w:id="0">
    <w:p w:rsidR="00EB476D" w:rsidRDefault="00EB476D" w:rsidP="00CE0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51BEA"/>
    <w:multiLevelType w:val="hybridMultilevel"/>
    <w:tmpl w:val="9A8C87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A3133"/>
    <w:multiLevelType w:val="hybridMultilevel"/>
    <w:tmpl w:val="EB221DA8"/>
    <w:lvl w:ilvl="0" w:tplc="844A72F0">
      <w:start w:val="3"/>
      <w:numFmt w:val="bullet"/>
      <w:lvlText w:val="–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48A76A4A"/>
    <w:multiLevelType w:val="hybridMultilevel"/>
    <w:tmpl w:val="A8E4D4E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9D277A"/>
    <w:multiLevelType w:val="hybridMultilevel"/>
    <w:tmpl w:val="74CC54E2"/>
    <w:lvl w:ilvl="0" w:tplc="C4208B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352B5"/>
    <w:multiLevelType w:val="hybridMultilevel"/>
    <w:tmpl w:val="EEE8CE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95AA8"/>
    <w:multiLevelType w:val="hybridMultilevel"/>
    <w:tmpl w:val="BCFEEA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17FE"/>
    <w:rsid w:val="000410FA"/>
    <w:rsid w:val="00060217"/>
    <w:rsid w:val="00095C3F"/>
    <w:rsid w:val="00096EBD"/>
    <w:rsid w:val="000C60DD"/>
    <w:rsid w:val="000D5427"/>
    <w:rsid w:val="00100BCF"/>
    <w:rsid w:val="00152D17"/>
    <w:rsid w:val="00156AD5"/>
    <w:rsid w:val="00181B98"/>
    <w:rsid w:val="00223E77"/>
    <w:rsid w:val="002475D3"/>
    <w:rsid w:val="0027249D"/>
    <w:rsid w:val="00290B2F"/>
    <w:rsid w:val="002E1543"/>
    <w:rsid w:val="002E40D9"/>
    <w:rsid w:val="00337FB1"/>
    <w:rsid w:val="00360B56"/>
    <w:rsid w:val="003657FE"/>
    <w:rsid w:val="003C2C25"/>
    <w:rsid w:val="003C3DC7"/>
    <w:rsid w:val="0040364D"/>
    <w:rsid w:val="00461D5B"/>
    <w:rsid w:val="0054634E"/>
    <w:rsid w:val="005A1237"/>
    <w:rsid w:val="005D189A"/>
    <w:rsid w:val="005D1FF0"/>
    <w:rsid w:val="00654EFD"/>
    <w:rsid w:val="006717FE"/>
    <w:rsid w:val="006F6CDA"/>
    <w:rsid w:val="00727B36"/>
    <w:rsid w:val="008F3E63"/>
    <w:rsid w:val="008F68A5"/>
    <w:rsid w:val="009309BF"/>
    <w:rsid w:val="00933F6B"/>
    <w:rsid w:val="009F3FAD"/>
    <w:rsid w:val="00A264C6"/>
    <w:rsid w:val="00A952D7"/>
    <w:rsid w:val="00AA629D"/>
    <w:rsid w:val="00AA6DE8"/>
    <w:rsid w:val="00B70A4D"/>
    <w:rsid w:val="00B97E9F"/>
    <w:rsid w:val="00BE4D39"/>
    <w:rsid w:val="00C3784A"/>
    <w:rsid w:val="00C704F0"/>
    <w:rsid w:val="00CE0B01"/>
    <w:rsid w:val="00CF6902"/>
    <w:rsid w:val="00D2499E"/>
    <w:rsid w:val="00D863D1"/>
    <w:rsid w:val="00DA2A00"/>
    <w:rsid w:val="00DB6E51"/>
    <w:rsid w:val="00DD4552"/>
    <w:rsid w:val="00DE01C7"/>
    <w:rsid w:val="00DE3DFC"/>
    <w:rsid w:val="00E32BB1"/>
    <w:rsid w:val="00E516AD"/>
    <w:rsid w:val="00EB476D"/>
    <w:rsid w:val="00EE346C"/>
    <w:rsid w:val="00F843CD"/>
    <w:rsid w:val="00F931D2"/>
    <w:rsid w:val="00FA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7F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CE0B01"/>
  </w:style>
  <w:style w:type="paragraph" w:styleId="a4">
    <w:name w:val="footnote text"/>
    <w:basedOn w:val="a"/>
    <w:link w:val="a5"/>
    <w:rsid w:val="00CE0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Текст сноски Знак"/>
    <w:basedOn w:val="a0"/>
    <w:link w:val="a4"/>
    <w:rsid w:val="00CE0B0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footnote reference"/>
    <w:basedOn w:val="a0"/>
    <w:rsid w:val="00CE0B01"/>
    <w:rPr>
      <w:vertAlign w:val="superscript"/>
    </w:rPr>
  </w:style>
  <w:style w:type="paragraph" w:styleId="a7">
    <w:name w:val="Normal (Web)"/>
    <w:basedOn w:val="a"/>
    <w:uiPriority w:val="99"/>
    <w:rsid w:val="00A9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282B6-8C2A-43EF-BFDE-866809A7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16</Pages>
  <Words>20621</Words>
  <Characters>11755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 Корпало</dc:creator>
  <cp:keywords/>
  <dc:description/>
  <cp:lastModifiedBy>Windows</cp:lastModifiedBy>
  <cp:revision>8</cp:revision>
  <cp:lastPrinted>2018-01-28T15:55:00Z</cp:lastPrinted>
  <dcterms:created xsi:type="dcterms:W3CDTF">2018-01-26T06:48:00Z</dcterms:created>
  <dcterms:modified xsi:type="dcterms:W3CDTF">2018-08-20T18:41:00Z</dcterms:modified>
</cp:coreProperties>
</file>