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45B" w:rsidRDefault="00AD27D9">
      <w:pPr>
        <w:pStyle w:val="30"/>
        <w:framePr w:w="224" w:h="2472" w:hRule="exact" w:wrap="none" w:vAnchor="page" w:hAnchor="page" w:x="1753" w:y="1697"/>
        <w:shd w:val="clear" w:color="auto" w:fill="auto"/>
        <w:spacing w:line="160" w:lineRule="exact"/>
        <w:textDirection w:val="btLr"/>
      </w:pPr>
      <w:r>
        <w:t>МЕН № 1 (61), лютий, 2012 р.</w:t>
      </w:r>
    </w:p>
    <w:p w:rsidR="000F045B" w:rsidRDefault="00AD27D9">
      <w:pPr>
        <w:pStyle w:val="a5"/>
        <w:framePr w:wrap="none" w:vAnchor="page" w:hAnchor="page" w:x="3047" w:y="784"/>
        <w:shd w:val="clear" w:color="auto" w:fill="auto"/>
        <w:spacing w:line="300" w:lineRule="exact"/>
      </w:pPr>
      <w:r>
        <w:t>Захист прав нотаріуса</w:t>
      </w:r>
    </w:p>
    <w:p w:rsidR="000F045B" w:rsidRDefault="00EF6449">
      <w:pPr>
        <w:framePr w:wrap="none" w:vAnchor="page" w:hAnchor="page" w:x="2116" w:y="293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247775" cy="1574165"/>
            <wp:effectExtent l="0" t="0" r="9525" b="6985"/>
            <wp:docPr id="1" name="Рисунок 1" descr="C:\Users\DR29D9~1.PAU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29D9~1.PAU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45B" w:rsidRDefault="00AD27D9">
      <w:pPr>
        <w:pStyle w:val="32"/>
        <w:framePr w:w="3960" w:h="908" w:hRule="exact" w:wrap="none" w:vAnchor="page" w:hAnchor="page" w:x="4353" w:y="2761"/>
        <w:shd w:val="clear" w:color="auto" w:fill="auto"/>
      </w:pPr>
      <w:bookmarkStart w:id="0" w:name="bookmark0"/>
      <w:r>
        <w:t>Павло ФРІС,</w:t>
      </w:r>
      <w:bookmarkEnd w:id="0"/>
    </w:p>
    <w:p w:rsidR="000F045B" w:rsidRDefault="00AD27D9">
      <w:pPr>
        <w:pStyle w:val="40"/>
        <w:framePr w:w="3960" w:h="908" w:hRule="exact" w:wrap="none" w:vAnchor="page" w:hAnchor="page" w:x="4353" w:y="2761"/>
        <w:shd w:val="clear" w:color="auto" w:fill="auto"/>
      </w:pPr>
      <w:r>
        <w:t xml:space="preserve">приватний нотаріус Яремчанського міського нотаріального округу, </w:t>
      </w:r>
      <w:r>
        <w:t>доктор юридичних наук, професор, заслужений діяч науки і техніки України</w:t>
      </w:r>
    </w:p>
    <w:p w:rsidR="000F045B" w:rsidRDefault="00AD27D9">
      <w:pPr>
        <w:pStyle w:val="32"/>
        <w:framePr w:w="3859" w:h="918" w:hRule="exact" w:wrap="none" w:vAnchor="page" w:hAnchor="page" w:x="5044" w:y="4518"/>
        <w:shd w:val="clear" w:color="auto" w:fill="auto"/>
        <w:spacing w:line="216" w:lineRule="exact"/>
        <w:jc w:val="right"/>
      </w:pPr>
      <w:bookmarkStart w:id="1" w:name="bookmark1"/>
      <w:r>
        <w:t>Ігор ФРІС,</w:t>
      </w:r>
      <w:bookmarkEnd w:id="1"/>
    </w:p>
    <w:p w:rsidR="000F045B" w:rsidRDefault="00AD27D9">
      <w:pPr>
        <w:pStyle w:val="40"/>
        <w:framePr w:w="3859" w:h="918" w:hRule="exact" w:wrap="none" w:vAnchor="page" w:hAnchor="page" w:x="5044" w:y="4518"/>
        <w:shd w:val="clear" w:color="auto" w:fill="auto"/>
        <w:spacing w:line="216" w:lineRule="exact"/>
        <w:jc w:val="right"/>
      </w:pPr>
      <w:r>
        <w:t>приватний нотаріус Івано-Франківського міського нотаріального округу, член ради Української нотаріальної палати</w:t>
      </w:r>
    </w:p>
    <w:p w:rsidR="000F045B" w:rsidRDefault="00EF6449">
      <w:pPr>
        <w:framePr w:wrap="none" w:vAnchor="page" w:hAnchor="page" w:x="9158" w:y="3002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247775" cy="1534795"/>
            <wp:effectExtent l="0" t="0" r="9525" b="8255"/>
            <wp:docPr id="2" name="Рисунок 2" descr="C:\Users\DR29D9~1.PAU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R29D9~1.PAU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53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45B" w:rsidRDefault="00AD27D9">
      <w:pPr>
        <w:pStyle w:val="10"/>
        <w:framePr w:w="9072" w:h="826" w:hRule="exact" w:wrap="none" w:vAnchor="page" w:hAnchor="page" w:x="2083" w:y="5580"/>
        <w:shd w:val="clear" w:color="auto" w:fill="auto"/>
      </w:pPr>
      <w:bookmarkStart w:id="2" w:name="bookmark2"/>
      <w:r>
        <w:t>ДОСВІД КРИМІНАЛЬНО-ПРАВОВОГО ЗАБЕЗПЕЧЕННЯ</w:t>
      </w:r>
      <w:r>
        <w:br/>
        <w:t>НОТАРІАЛЬНОЇ ДІЯЛЬНОСТІ</w:t>
      </w:r>
      <w:bookmarkEnd w:id="2"/>
    </w:p>
    <w:p w:rsidR="000F045B" w:rsidRDefault="00AD27D9">
      <w:pPr>
        <w:pStyle w:val="20"/>
        <w:framePr w:w="4454" w:h="8222" w:hRule="exact" w:wrap="none" w:vAnchor="page" w:hAnchor="page" w:x="2083" w:y="6746"/>
        <w:shd w:val="clear" w:color="auto" w:fill="auto"/>
        <w:ind w:firstLine="260"/>
      </w:pPr>
      <w:r>
        <w:t>Становлення і розвиток кримінального зако</w:t>
      </w:r>
      <w:r>
        <w:softHyphen/>
        <w:t xml:space="preserve">нодавства країн — учасників СНД у цілому багато в чому обумовлені Модельним </w:t>
      </w:r>
      <w:r>
        <w:t>криміналь</w:t>
      </w:r>
      <w:r>
        <w:softHyphen/>
        <w:t>ним кодексом для Співдружності Незалежних Держав (даті — МКК СНД) як рекомендаційним законодавчим актом, прийнятим на сьомому пле</w:t>
      </w:r>
      <w:r>
        <w:softHyphen/>
        <w:t>нарному засіданні Міжпарламентської Асамблеї 17 лютого 1996 р. [1].</w:t>
      </w:r>
    </w:p>
    <w:p w:rsidR="000F045B" w:rsidRDefault="00AD27D9">
      <w:pPr>
        <w:pStyle w:val="20"/>
        <w:framePr w:w="4454" w:h="8222" w:hRule="exact" w:wrap="none" w:vAnchor="page" w:hAnchor="page" w:x="2083" w:y="6746"/>
        <w:shd w:val="clear" w:color="auto" w:fill="auto"/>
        <w:ind w:firstLine="260"/>
      </w:pPr>
      <w:r>
        <w:t>Однак стосовно до регулювання порядку вчи</w:t>
      </w:r>
      <w:r>
        <w:softHyphen/>
        <w:t xml:space="preserve">нення </w:t>
      </w:r>
      <w:r>
        <w:t>нотаріальних дій МКК СНД не містить відповідних норм. У зв’язку з цим наявність від</w:t>
      </w:r>
      <w:r>
        <w:softHyphen/>
        <w:t xml:space="preserve">повідних </w:t>
      </w:r>
      <w:proofErr w:type="spellStart"/>
      <w:r>
        <w:t>кримінатьно</w:t>
      </w:r>
      <w:proofErr w:type="spellEnd"/>
      <w:r>
        <w:t>-правових заборон і форми їх відображення в законі кожним законодавцем визначалися самостійно, при цьому, звичайно, не можна заперечувати, що не врахову</w:t>
      </w:r>
      <w:r>
        <w:t>вався в ціло</w:t>
      </w:r>
      <w:r>
        <w:softHyphen/>
        <w:t>му досвід інших країн і в першу чергу Росії.</w:t>
      </w:r>
    </w:p>
    <w:p w:rsidR="000F045B" w:rsidRDefault="00AD27D9">
      <w:pPr>
        <w:pStyle w:val="20"/>
        <w:framePr w:w="4454" w:h="8222" w:hRule="exact" w:wrap="none" w:vAnchor="page" w:hAnchor="page" w:x="2083" w:y="6746"/>
        <w:shd w:val="clear" w:color="auto" w:fill="auto"/>
        <w:ind w:firstLine="260"/>
      </w:pPr>
      <w:r>
        <w:t>Кримінальний кодекс (далі — КК) Російської Федерації (далі — РФ) у ч. 1 ст. 202 встановив відповідальність приватних нотаріусів за зло</w:t>
      </w:r>
      <w:r>
        <w:softHyphen/>
        <w:t>вживання своїми повноваженнями: «1. Вико</w:t>
      </w:r>
      <w:r>
        <w:softHyphen/>
        <w:t>ристання приватним нот</w:t>
      </w:r>
      <w:r>
        <w:t xml:space="preserve">аріусом чи приватним аудитором своїх повноважень усупереч задачам своєї діяльності і з метою отримання </w:t>
      </w:r>
      <w:proofErr w:type="spellStart"/>
      <w:r>
        <w:t>вигод</w:t>
      </w:r>
      <w:proofErr w:type="spellEnd"/>
      <w:r>
        <w:t xml:space="preserve"> і переваг для себе чи інших осіб або завдання шкоди іншим особам, якщо це діяння заподіяло істотну шкоду правам і законним інтересам громадян чи ор</w:t>
      </w:r>
      <w:r>
        <w:t>ганізацій або охоронюваним законом інтересам суспільства чи держави...». Друга частина даної статті передбачає кваліфі</w:t>
      </w:r>
      <w:r>
        <w:softHyphen/>
        <w:t>кований вид злочину. При цьому обтяжуючими обставинами є вчинення діянь відносно свідомо</w:t>
      </w:r>
    </w:p>
    <w:p w:rsidR="000F045B" w:rsidRDefault="00AD27D9">
      <w:pPr>
        <w:pStyle w:val="20"/>
        <w:framePr w:w="4445" w:h="8232" w:hRule="exact" w:wrap="none" w:vAnchor="page" w:hAnchor="page" w:x="6710" w:y="6736"/>
        <w:shd w:val="clear" w:color="auto" w:fill="auto"/>
      </w:pPr>
      <w:r>
        <w:t>неповнолітньої чи недієздатної особи або неодно</w:t>
      </w:r>
      <w:r>
        <w:softHyphen/>
      </w:r>
      <w:r>
        <w:t>разово [2].</w:t>
      </w:r>
    </w:p>
    <w:p w:rsidR="000F045B" w:rsidRDefault="00AD27D9">
      <w:pPr>
        <w:pStyle w:val="20"/>
        <w:framePr w:w="4445" w:h="8232" w:hRule="exact" w:wrap="none" w:vAnchor="page" w:hAnchor="page" w:x="6710" w:y="6736"/>
        <w:shd w:val="clear" w:color="auto" w:fill="auto"/>
        <w:ind w:firstLine="260"/>
      </w:pPr>
      <w:r>
        <w:t>Аналіз кримінального законодавства країн СНД свідчить, що абсолютна більшість кримі</w:t>
      </w:r>
      <w:r>
        <w:softHyphen/>
        <w:t xml:space="preserve">нальних кодексів держав СНД (у тому числі й України) не містить спеціальних норм про відповідальність за зловживання нотаріусами своїми повноваженнями. Лише за </w:t>
      </w:r>
      <w:r>
        <w:t>КК Респуб</w:t>
      </w:r>
      <w:r>
        <w:softHyphen/>
        <w:t>ліки Таджикистан до прийняття Закону № 35 от 17.05.04 р. [3] його караність передбачалась окремою статтею, в якій було зазначено: «Ви</w:t>
      </w:r>
      <w:r>
        <w:softHyphen/>
        <w:t>користання аудитором, третейським суддею, чи нотаріусом адвокатом наявних у нього повноважень усупереч задачам с</w:t>
      </w:r>
      <w:r>
        <w:t xml:space="preserve">воєї діяльності і з метою отримання </w:t>
      </w:r>
      <w:proofErr w:type="spellStart"/>
      <w:r>
        <w:t>вигод</w:t>
      </w:r>
      <w:proofErr w:type="spellEnd"/>
      <w:r>
        <w:t xml:space="preserve"> і переваг для себе чи інших або завдання шкоди іншим особам, якщо це діяння заподіяло істотну шкоду правам чи законним інтересам громадян, організацій або держави...» (ст. 296).</w:t>
      </w:r>
    </w:p>
    <w:p w:rsidR="000F045B" w:rsidRDefault="00AD27D9">
      <w:pPr>
        <w:pStyle w:val="20"/>
        <w:framePr w:w="4445" w:h="8232" w:hRule="exact" w:wrap="none" w:vAnchor="page" w:hAnchor="page" w:x="6710" w:y="6736"/>
        <w:shd w:val="clear" w:color="auto" w:fill="auto"/>
        <w:ind w:firstLine="260"/>
      </w:pPr>
      <w:r>
        <w:t xml:space="preserve">У першу чергу звертає на себе увагу </w:t>
      </w:r>
      <w:r>
        <w:t>те, що законодавець не конкретизував суб’єкт злочину, називаючи його не приватним, а взагалі нотаріу</w:t>
      </w:r>
      <w:r>
        <w:softHyphen/>
        <w:t>сом. Місце статті в структурі Особливої частини КК також не дозволяло визначити коло осіб, відповідальних за цією статтею, оскільки гл. 27, до якої вона бу</w:t>
      </w:r>
      <w:r>
        <w:t>ла включена, містить норми про злочини, визнані альтернативно-посадовими.</w:t>
      </w:r>
    </w:p>
    <w:p w:rsidR="000F045B" w:rsidRDefault="00AD27D9">
      <w:pPr>
        <w:pStyle w:val="20"/>
        <w:framePr w:w="4445" w:h="8232" w:hRule="exact" w:wrap="none" w:vAnchor="page" w:hAnchor="page" w:x="6710" w:y="6736"/>
        <w:shd w:val="clear" w:color="auto" w:fill="auto"/>
        <w:ind w:firstLine="260"/>
      </w:pPr>
      <w:r>
        <w:t>Навряд чи можна це було встановити і мето</w:t>
      </w:r>
      <w:r>
        <w:softHyphen/>
        <w:t>дом системного тлумачення, зокрема за іншими суб’єктами злочинів, що згадуються у ст. 296 КК Республіки Таджикистан.</w:t>
      </w:r>
    </w:p>
    <w:p w:rsidR="000F045B" w:rsidRDefault="00AD27D9">
      <w:pPr>
        <w:pStyle w:val="50"/>
        <w:framePr w:wrap="none" w:vAnchor="page" w:hAnchor="page" w:x="2107" w:y="1517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20" w:lineRule="exact"/>
      </w:pPr>
      <w:proofErr w:type="spellStart"/>
      <w:r>
        <w:rPr>
          <w:rStyle w:val="51"/>
        </w:rPr>
        <w:t>МАЛА</w:t>
      </w:r>
      <w:r>
        <w:rPr>
          <w:rStyle w:val="51"/>
          <w:vertAlign w:val="superscript"/>
        </w:rPr>
        <w:t>ЕНЦИ</w:t>
      </w:r>
      <w:r>
        <w:rPr>
          <w:rStyle w:val="51"/>
        </w:rPr>
        <w:t>нотаріуса</w:t>
      </w:r>
      <w:proofErr w:type="spellEnd"/>
    </w:p>
    <w:p w:rsidR="000F045B" w:rsidRDefault="000F045B">
      <w:pPr>
        <w:rPr>
          <w:sz w:val="2"/>
          <w:szCs w:val="2"/>
        </w:rPr>
        <w:sectPr w:rsidR="000F045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F045B" w:rsidRDefault="00AD27D9">
      <w:pPr>
        <w:pStyle w:val="a5"/>
        <w:framePr w:wrap="none" w:vAnchor="page" w:hAnchor="page" w:x="5633" w:y="1192"/>
        <w:shd w:val="clear" w:color="auto" w:fill="auto"/>
        <w:spacing w:line="300" w:lineRule="exact"/>
      </w:pPr>
      <w:r>
        <w:lastRenderedPageBreak/>
        <w:t>Захист прав нотаріуса</w:t>
      </w:r>
    </w:p>
    <w:p w:rsidR="000F045B" w:rsidRDefault="00AD27D9">
      <w:pPr>
        <w:pStyle w:val="20"/>
        <w:framePr w:w="4454" w:h="10603" w:hRule="exact" w:wrap="none" w:vAnchor="page" w:hAnchor="page" w:x="598" w:y="2147"/>
        <w:shd w:val="clear" w:color="auto" w:fill="auto"/>
        <w:ind w:firstLine="260"/>
      </w:pPr>
      <w:r>
        <w:t>Формулювання поняття діяння, по суті, ана</w:t>
      </w:r>
      <w:r>
        <w:softHyphen/>
        <w:t>логічне російському варіанту кримінально- правової заборони (ст. 202 КК РФ). Невеликі розходження є тільки в описі наслідків злочи</w:t>
      </w:r>
      <w:r>
        <w:softHyphen/>
        <w:t xml:space="preserve">ну. По-перше, КК Республіки </w:t>
      </w:r>
      <w:r>
        <w:t>Таджикистан не містило вказівки про такий вид потерпілого, як суспільство. По-друге, якщо російський зако</w:t>
      </w:r>
      <w:r>
        <w:softHyphen/>
        <w:t>нодавець використовує в окресленні наслідків у вигляді істотної шкоди правам і законним інте</w:t>
      </w:r>
      <w:r>
        <w:softHyphen/>
        <w:t xml:space="preserve">ресам єднальний сполучник «і» (що передбачає злочинність </w:t>
      </w:r>
      <w:r>
        <w:t>діяння тільки за наявності обох на</w:t>
      </w:r>
      <w:r>
        <w:softHyphen/>
        <w:t>слідків одночасно), то таджицький законодавець роз’єднував зазначену шкоду, ставлячи між мож</w:t>
      </w:r>
      <w:r>
        <w:softHyphen/>
        <w:t>ливими наслідками розділовий сполучник «чи». На наш погляд, ця позиція була більш логічна, оскільки шкода, шо завдається правам,</w:t>
      </w:r>
      <w:r>
        <w:t xml:space="preserve"> може і не стосуватися законних інтересів, і навпаки.</w:t>
      </w:r>
    </w:p>
    <w:p w:rsidR="000F045B" w:rsidRDefault="00AD27D9">
      <w:pPr>
        <w:pStyle w:val="20"/>
        <w:framePr w:w="4454" w:h="10603" w:hRule="exact" w:wrap="none" w:vAnchor="page" w:hAnchor="page" w:x="598" w:y="2147"/>
        <w:shd w:val="clear" w:color="auto" w:fill="auto"/>
        <w:ind w:firstLine="260"/>
      </w:pPr>
      <w:r>
        <w:t>Розходження у кваліфікуючих ознаках також не є значним. Воно зводиться до виділення в категорії неповнолітніх малолітньої особи і здійснення розглянутого діяння повторно</w:t>
      </w:r>
      <w:r>
        <w:rPr>
          <w:vertAlign w:val="superscript"/>
        </w:rPr>
        <w:t>* 1</w:t>
      </w:r>
      <w:r>
        <w:t xml:space="preserve">. На жаль, зазначеним законом </w:t>
      </w:r>
      <w:r>
        <w:t>№35 від 17.05.2004 р. диспозиція вказаної статті була суттєво зміне</w:t>
      </w:r>
      <w:r>
        <w:softHyphen/>
        <w:t>на і нотаріусів було виключено з кола суб’єктів злочину.</w:t>
      </w:r>
    </w:p>
    <w:p w:rsidR="000F045B" w:rsidRDefault="00AD27D9">
      <w:pPr>
        <w:pStyle w:val="20"/>
        <w:framePr w:w="4454" w:h="10603" w:hRule="exact" w:wrap="none" w:vAnchor="page" w:hAnchor="page" w:x="598" w:y="2147"/>
        <w:shd w:val="clear" w:color="auto" w:fill="auto"/>
        <w:ind w:firstLine="260"/>
      </w:pPr>
      <w:r>
        <w:t>КК Республіки Казахстан [4] був прийня</w:t>
      </w:r>
      <w:r>
        <w:softHyphen/>
        <w:t>тий трохи пізніше (16.07.1997 р.), ніж у Росії, й імовірно тому є деяка подібність у правово</w:t>
      </w:r>
      <w:r>
        <w:softHyphen/>
        <w:t>му регулюванні багатьох питань, у тому числі порушення порядку здійснення нотаріальної діяльності. Стаття 229 КК Казахстану майже дослівно повторює ст. 202 КК РФ, відрізняючись п</w:t>
      </w:r>
      <w:r>
        <w:rPr>
          <w:rStyle w:val="21"/>
        </w:rPr>
        <w:t>иш</w:t>
      </w:r>
      <w:r>
        <w:t>е у двох деталях: по-перше, поряд з «іншими особами», в чиїх інтересах нота</w:t>
      </w:r>
      <w:r>
        <w:t>ріус може неза</w:t>
      </w:r>
      <w:r>
        <w:softHyphen/>
        <w:t>конно використовувати повноваження, вказано організації; по-друге, кваліфікований вид зло</w:t>
      </w:r>
      <w:r>
        <w:softHyphen/>
        <w:t>чину в тому числі пов’язується і з повторністю його здійснення</w:t>
      </w:r>
      <w:r>
        <w:rPr>
          <w:vertAlign w:val="superscript"/>
        </w:rPr>
        <w:t>2</w:t>
      </w:r>
      <w:r>
        <w:t>.</w:t>
      </w:r>
    </w:p>
    <w:p w:rsidR="000F045B" w:rsidRDefault="00AD27D9">
      <w:pPr>
        <w:pStyle w:val="60"/>
        <w:framePr w:w="4454" w:h="10603" w:hRule="exact" w:wrap="none" w:vAnchor="page" w:hAnchor="page" w:x="598" w:y="2147"/>
        <w:shd w:val="clear" w:color="auto" w:fill="auto"/>
        <w:ind w:firstLine="260"/>
      </w:pPr>
      <w:r>
        <w:t xml:space="preserve">Слід звернути увагу на те, що жоден з КК республік СНД не передбачає </w:t>
      </w:r>
      <w:proofErr w:type="spellStart"/>
      <w:r>
        <w:t>відповідаль</w:t>
      </w:r>
      <w:proofErr w:type="spellEnd"/>
      <w:r>
        <w:softHyphen/>
      </w:r>
    </w:p>
    <w:p w:rsidR="000F045B" w:rsidRDefault="00AD27D9">
      <w:pPr>
        <w:pStyle w:val="a7"/>
        <w:framePr w:w="4214" w:h="245" w:hRule="exact" w:wrap="none" w:vAnchor="page" w:hAnchor="page" w:x="828" w:y="13591"/>
        <w:shd w:val="clear" w:color="auto" w:fill="auto"/>
        <w:ind w:left="200"/>
      </w:pPr>
      <w:r>
        <w:t>Повт</w:t>
      </w:r>
      <w:r>
        <w:t xml:space="preserve">орність визначається як вчинення у різний </w:t>
      </w:r>
      <w:proofErr w:type="spellStart"/>
      <w:r>
        <w:t>час</w:t>
      </w:r>
      <w:r w:rsidR="00EF6449">
        <w:t>двох</w:t>
      </w:r>
      <w:proofErr w:type="spellEnd"/>
      <w:r w:rsidR="00EF6449">
        <w:t xml:space="preserve"> або</w:t>
      </w:r>
      <w:r>
        <w:t xml:space="preserve"> двох</w:t>
      </w:r>
    </w:p>
    <w:p w:rsidR="000F045B" w:rsidRDefault="00AD27D9">
      <w:pPr>
        <w:pStyle w:val="60"/>
        <w:framePr w:w="4454" w:h="10598" w:hRule="exact" w:wrap="none" w:vAnchor="page" w:hAnchor="page" w:x="5225" w:y="2142"/>
        <w:shd w:val="clear" w:color="auto" w:fill="auto"/>
      </w:pPr>
      <w:proofErr w:type="spellStart"/>
      <w:r>
        <w:t>ності</w:t>
      </w:r>
      <w:proofErr w:type="spellEnd"/>
      <w:r>
        <w:t xml:space="preserve"> за діяння, що перешкоджають нормаль</w:t>
      </w:r>
      <w:r>
        <w:softHyphen/>
        <w:t>ній діяльності нотаріуса.</w:t>
      </w:r>
    </w:p>
    <w:p w:rsidR="000F045B" w:rsidRDefault="00AD27D9">
      <w:pPr>
        <w:pStyle w:val="20"/>
        <w:framePr w:w="4454" w:h="10598" w:hRule="exact" w:wrap="none" w:vAnchor="page" w:hAnchor="page" w:x="5225" w:y="2142"/>
        <w:shd w:val="clear" w:color="auto" w:fill="auto"/>
        <w:ind w:firstLine="260"/>
      </w:pPr>
      <w:r>
        <w:t>По-іншому до цього</w:t>
      </w:r>
      <w:r>
        <w:t xml:space="preserve"> підходить КК Латвійської республіки, який передбачає охорону порядку здійснення нотаріальних дій, коли він пору</w:t>
      </w:r>
      <w:r>
        <w:softHyphen/>
        <w:t xml:space="preserve">шується «ззовні», тобто не нотаріусом, а іншою особою. Так, у ст. 299 КК зазначено: «Свідомо помилкове повідомлення присяжному нотаріусу, якщо </w:t>
      </w:r>
      <w:r>
        <w:t>надання нотаріально засвідченого пові</w:t>
      </w:r>
      <w:r>
        <w:softHyphen/>
        <w:t>домлення передбачено законом...» [5],</w:t>
      </w:r>
    </w:p>
    <w:p w:rsidR="000F045B" w:rsidRDefault="00AD27D9">
      <w:pPr>
        <w:pStyle w:val="20"/>
        <w:framePr w:w="4454" w:h="10598" w:hRule="exact" w:wrap="none" w:vAnchor="page" w:hAnchor="page" w:x="5225" w:y="2142"/>
        <w:shd w:val="clear" w:color="auto" w:fill="auto"/>
        <w:ind w:firstLine="260"/>
      </w:pPr>
      <w:r>
        <w:t>Стаття 300 КК Латвії передбачає кримінальну відповідальність за свідомо помилкові показан</w:t>
      </w:r>
      <w:r>
        <w:softHyphen/>
        <w:t>ня свідка чи потерпілого, свідомо помилковий висновок експерта чи свідомо помилковий перек</w:t>
      </w:r>
      <w:r>
        <w:t>лад перекладача під час досудового роз</w:t>
      </w:r>
      <w:r>
        <w:softHyphen/>
        <w:t>слідування в суді чи у присяжного нотаріуса. Кваліфікований вид цього злочину складатимуть ті ж дії, вчинені під час розслідування чи роз</w:t>
      </w:r>
      <w:r>
        <w:softHyphen/>
        <w:t>гляду справи про тяжкий чи особливо тяжкий злочин, що призвели до тяжких наслід</w:t>
      </w:r>
      <w:r>
        <w:t>ків чи вчинені в корисливих цілях.</w:t>
      </w:r>
    </w:p>
    <w:p w:rsidR="000F045B" w:rsidRDefault="00AD27D9">
      <w:pPr>
        <w:pStyle w:val="20"/>
        <w:framePr w:w="4454" w:h="10598" w:hRule="exact" w:wrap="none" w:vAnchor="page" w:hAnchor="page" w:x="5225" w:y="2142"/>
        <w:shd w:val="clear" w:color="auto" w:fill="auto"/>
        <w:ind w:firstLine="260"/>
      </w:pPr>
      <w:r>
        <w:t>У зазначених випадках порушення порядку здійснення нотаріальних дій є, по суті, однією з форм протидії правосуддю й обумовлено спе</w:t>
      </w:r>
      <w:r>
        <w:softHyphen/>
        <w:t>цифікою латвійського кримінального процесу. Тому ці норми містяться в гл. XXIII КК Латвій</w:t>
      </w:r>
      <w:r>
        <w:softHyphen/>
      </w:r>
      <w:r>
        <w:t>ської Республіки «Злочинні діяння проти право</w:t>
      </w:r>
      <w:r>
        <w:softHyphen/>
        <w:t>суддя». Спеціальної норми, присвяченої охороні зазначеного порядку, вказаний КК не містить.</w:t>
      </w:r>
    </w:p>
    <w:p w:rsidR="000F045B" w:rsidRDefault="00AD27D9">
      <w:pPr>
        <w:pStyle w:val="20"/>
        <w:framePr w:w="4454" w:h="10598" w:hRule="exact" w:wrap="none" w:vAnchor="page" w:hAnchor="page" w:x="5225" w:y="2142"/>
        <w:shd w:val="clear" w:color="auto" w:fill="auto"/>
        <w:ind w:firstLine="260"/>
      </w:pPr>
      <w:r>
        <w:t>Обсяги нашої публікації не дозволяють здій</w:t>
      </w:r>
      <w:r>
        <w:softHyphen/>
        <w:t>снити аналіз цієї проблеми з позицій компара</w:t>
      </w:r>
      <w:r>
        <w:softHyphen/>
        <w:t>тивістики стосовно кримінально</w:t>
      </w:r>
      <w:r>
        <w:t>го законодав</w:t>
      </w:r>
      <w:r>
        <w:softHyphen/>
        <w:t xml:space="preserve">ства інших країн світу. </w:t>
      </w:r>
      <w:r>
        <w:rPr>
          <w:rStyle w:val="22"/>
        </w:rPr>
        <w:t>Підкреслимо лише, шо значне число країн світ</w:t>
      </w:r>
      <w:r w:rsidR="00E7609D">
        <w:rPr>
          <w:rStyle w:val="22"/>
        </w:rPr>
        <w:t>у</w:t>
      </w:r>
      <w:bookmarkStart w:id="3" w:name="_GoBack"/>
      <w:bookmarkEnd w:id="3"/>
      <w:r>
        <w:rPr>
          <w:rStyle w:val="22"/>
        </w:rPr>
        <w:t xml:space="preserve"> в нормах своїх кар</w:t>
      </w:r>
      <w:r>
        <w:rPr>
          <w:rStyle w:val="22"/>
        </w:rPr>
        <w:softHyphen/>
        <w:t xml:space="preserve">них законів установлює як </w:t>
      </w:r>
      <w:r>
        <w:t xml:space="preserve">відповідальність осіб, що здійснюють нотаріальну діяльність, за зловживання своїми повноваженнями, </w:t>
      </w:r>
      <w:r>
        <w:rPr>
          <w:rStyle w:val="22"/>
        </w:rPr>
        <w:t>так і відповідальність за дія</w:t>
      </w:r>
      <w:r>
        <w:rPr>
          <w:rStyle w:val="22"/>
        </w:rPr>
        <w:t>ння, спрямовані на протидію нормальному здійсненню нотаріу</w:t>
      </w:r>
      <w:r>
        <w:rPr>
          <w:rStyle w:val="22"/>
        </w:rPr>
        <w:softHyphen/>
        <w:t>сами своїх повноважень. 5К</w:t>
      </w:r>
    </w:p>
    <w:p w:rsidR="000F045B" w:rsidRDefault="00AD27D9">
      <w:pPr>
        <w:pStyle w:val="24"/>
        <w:framePr w:wrap="none" w:vAnchor="page" w:hAnchor="page" w:x="8081" w:y="1557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20" w:lineRule="exact"/>
      </w:pPr>
      <w:bookmarkStart w:id="4" w:name="bookmark3"/>
      <w:proofErr w:type="spellStart"/>
      <w:r>
        <w:t>МАЛА</w:t>
      </w:r>
      <w:r>
        <w:rPr>
          <w:vertAlign w:val="superscript"/>
        </w:rPr>
        <w:t>ЕНЦИ</w:t>
      </w:r>
      <w:r>
        <w:t>нов</w:t>
      </w:r>
      <w:bookmarkEnd w:id="4"/>
      <w:proofErr w:type="spellEnd"/>
    </w:p>
    <w:p w:rsidR="000F045B" w:rsidRDefault="00AD27D9">
      <w:pPr>
        <w:pStyle w:val="30"/>
        <w:framePr w:w="211" w:h="2477" w:hRule="exact" w:wrap="none" w:vAnchor="page" w:hAnchor="page" w:x="9790" w:y="2080"/>
        <w:shd w:val="clear" w:color="auto" w:fill="auto"/>
        <w:spacing w:line="160" w:lineRule="exact"/>
        <w:textDirection w:val="tbRl"/>
      </w:pPr>
      <w:r>
        <w:t>МІ Н № 1 (61), лютий, 2012 р.</w:t>
      </w:r>
    </w:p>
    <w:p w:rsidR="000F045B" w:rsidRDefault="000F045B">
      <w:pPr>
        <w:rPr>
          <w:sz w:val="2"/>
          <w:szCs w:val="2"/>
        </w:rPr>
      </w:pPr>
    </w:p>
    <w:sectPr w:rsidR="000F045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7D9" w:rsidRDefault="00AD27D9">
      <w:r>
        <w:separator/>
      </w:r>
    </w:p>
  </w:endnote>
  <w:endnote w:type="continuationSeparator" w:id="0">
    <w:p w:rsidR="00AD27D9" w:rsidRDefault="00AD2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8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7020304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7D9" w:rsidRDefault="00AD27D9">
      <w:r>
        <w:separator/>
      </w:r>
    </w:p>
  </w:footnote>
  <w:footnote w:type="continuationSeparator" w:id="0">
    <w:p w:rsidR="00AD27D9" w:rsidRDefault="00AD2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45B"/>
    <w:rsid w:val="000F045B"/>
    <w:rsid w:val="00AD27D9"/>
    <w:rsid w:val="00E7609D"/>
    <w:rsid w:val="00E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">
    <w:name w:val="Заголовок №1_"/>
    <w:basedOn w:val="a0"/>
    <w:link w:val="1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 + Малые прописные"/>
    <w:basedOn w:val="5"/>
    <w:rPr>
      <w:rFonts w:ascii="Franklin Gothic Demi" w:eastAsia="Franklin Gothic Demi" w:hAnsi="Franklin Gothic Demi" w:cs="Franklin Gothic Dem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uk-UA" w:eastAsia="uk-UA" w:bidi="uk-UA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Сноска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3">
    <w:name w:val="Заголовок №2_"/>
    <w:basedOn w:val="a0"/>
    <w:link w:val="24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211" w:lineRule="exact"/>
      <w:outlineLvl w:val="2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11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84" w:lineRule="exact"/>
      <w:jc w:val="center"/>
      <w:outlineLvl w:val="0"/>
    </w:pPr>
    <w:rPr>
      <w:rFonts w:ascii="Franklin Gothic Demi" w:eastAsia="Franklin Gothic Demi" w:hAnsi="Franklin Gothic Demi" w:cs="Franklin Gothic Demi"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59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Franklin Gothic Demi" w:eastAsia="Franklin Gothic Demi" w:hAnsi="Franklin Gothic Demi" w:cs="Franklin Gothic Demi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59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7">
    <w:name w:val="Сноска"/>
    <w:basedOn w:val="a"/>
    <w:link w:val="a6"/>
    <w:pPr>
      <w:shd w:val="clear" w:color="auto" w:fill="FFFFFF"/>
      <w:spacing w:line="216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line="0" w:lineRule="atLeast"/>
      <w:outlineLvl w:val="1"/>
    </w:pPr>
    <w:rPr>
      <w:rFonts w:ascii="Franklin Gothic Demi" w:eastAsia="Franklin Gothic Demi" w:hAnsi="Franklin Gothic Demi" w:cs="Franklin Gothic Dem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760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609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">
    <w:name w:val="Заголовок №1_"/>
    <w:basedOn w:val="a0"/>
    <w:link w:val="1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 + Малые прописные"/>
    <w:basedOn w:val="5"/>
    <w:rPr>
      <w:rFonts w:ascii="Franklin Gothic Demi" w:eastAsia="Franklin Gothic Demi" w:hAnsi="Franklin Gothic Demi" w:cs="Franklin Gothic Dem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uk-UA" w:eastAsia="uk-UA" w:bidi="uk-UA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Сноска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3">
    <w:name w:val="Заголовок №2_"/>
    <w:basedOn w:val="a0"/>
    <w:link w:val="24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211" w:lineRule="exact"/>
      <w:outlineLvl w:val="2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11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84" w:lineRule="exact"/>
      <w:jc w:val="center"/>
      <w:outlineLvl w:val="0"/>
    </w:pPr>
    <w:rPr>
      <w:rFonts w:ascii="Franklin Gothic Demi" w:eastAsia="Franklin Gothic Demi" w:hAnsi="Franklin Gothic Demi" w:cs="Franklin Gothic Demi"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59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Franklin Gothic Demi" w:eastAsia="Franklin Gothic Demi" w:hAnsi="Franklin Gothic Demi" w:cs="Franklin Gothic Demi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59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7">
    <w:name w:val="Сноска"/>
    <w:basedOn w:val="a"/>
    <w:link w:val="a6"/>
    <w:pPr>
      <w:shd w:val="clear" w:color="auto" w:fill="FFFFFF"/>
      <w:spacing w:line="216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line="0" w:lineRule="atLeast"/>
      <w:outlineLvl w:val="1"/>
    </w:pPr>
    <w:rPr>
      <w:rFonts w:ascii="Franklin Gothic Demi" w:eastAsia="Franklin Gothic Demi" w:hAnsi="Franklin Gothic Demi" w:cs="Franklin Gothic Dem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760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609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0A8E4-CA0F-43E9-AF7E-73C3B84EA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4226</Words>
  <Characters>2410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Dr.Paull</dc:creator>
  <cp:lastModifiedBy>Dr.Paull</cp:lastModifiedBy>
  <cp:revision>2</cp:revision>
  <dcterms:created xsi:type="dcterms:W3CDTF">2020-04-16T13:37:00Z</dcterms:created>
  <dcterms:modified xsi:type="dcterms:W3CDTF">2020-04-16T13:40:00Z</dcterms:modified>
</cp:coreProperties>
</file>